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57" w:rsidRDefault="00E64C57" w:rsidP="00E64C57">
      <w:pPr>
        <w:rPr>
          <w:rFonts w:ascii="Verdana" w:hAnsi="Verdana"/>
          <w:b/>
          <w:sz w:val="28"/>
          <w:szCs w:val="28"/>
          <w:u w:val="single"/>
        </w:rPr>
      </w:pPr>
      <w:r>
        <w:rPr>
          <w:rFonts w:ascii="Verdana" w:hAnsi="Verdana"/>
          <w:b/>
          <w:noProof/>
          <w:sz w:val="28"/>
          <w:szCs w:val="28"/>
          <w:u w:val="single"/>
          <w:lang w:val="en-ZA" w:eastAsia="en-ZA"/>
        </w:rPr>
        <w:drawing>
          <wp:anchor distT="0" distB="0" distL="114300" distR="114300" simplePos="0" relativeHeight="251659264" behindDoc="1" locked="0" layoutInCell="1" allowOverlap="0">
            <wp:simplePos x="0" y="0"/>
            <wp:positionH relativeFrom="column">
              <wp:posOffset>-342900</wp:posOffset>
            </wp:positionH>
            <wp:positionV relativeFrom="paragraph">
              <wp:posOffset>-571500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E64C57" w:rsidRDefault="00E64C57" w:rsidP="00E64C57">
      <w:pPr>
        <w:rPr>
          <w:rFonts w:ascii="Verdana" w:hAnsi="Verdana"/>
          <w:b/>
          <w:sz w:val="28"/>
          <w:szCs w:val="28"/>
          <w:u w:val="single"/>
        </w:rPr>
      </w:pPr>
    </w:p>
    <w:p w:rsidR="00E64C57" w:rsidRDefault="00E64C57" w:rsidP="00E64C57">
      <w:pPr>
        <w:rPr>
          <w:rFonts w:ascii="Verdana" w:hAnsi="Verdana"/>
          <w:b/>
          <w:sz w:val="28"/>
          <w:szCs w:val="28"/>
          <w:u w:val="single"/>
        </w:rPr>
      </w:pPr>
    </w:p>
    <w:p w:rsidR="00E64C57" w:rsidRDefault="00E64C57" w:rsidP="00E64C57">
      <w:pPr>
        <w:rPr>
          <w:rFonts w:ascii="Verdana" w:hAnsi="Verdana"/>
          <w:b/>
          <w:sz w:val="28"/>
          <w:szCs w:val="28"/>
          <w:u w:val="single"/>
        </w:rPr>
      </w:pPr>
    </w:p>
    <w:p w:rsidR="00E64C57" w:rsidRDefault="00E64C57" w:rsidP="00E64C57">
      <w:pPr>
        <w:rPr>
          <w:rFonts w:ascii="Verdana" w:hAnsi="Verdana"/>
          <w:b/>
          <w:sz w:val="28"/>
          <w:szCs w:val="28"/>
          <w:u w:val="single"/>
        </w:rPr>
      </w:pPr>
    </w:p>
    <w:p w:rsidR="00E64C57" w:rsidRDefault="00E64C57" w:rsidP="00E64C57">
      <w:pPr>
        <w:rPr>
          <w:rFonts w:ascii="Verdana" w:hAnsi="Verdana"/>
          <w:b/>
          <w:sz w:val="28"/>
          <w:szCs w:val="28"/>
          <w:u w:val="single"/>
        </w:rPr>
      </w:pPr>
      <w:r>
        <w:rPr>
          <w:rFonts w:ascii="Verdana" w:hAnsi="Verdana"/>
          <w:b/>
          <w:sz w:val="28"/>
          <w:szCs w:val="28"/>
          <w:u w:val="single"/>
        </w:rPr>
        <w:t>CONCILIATION, MEDIATION AND ARBITRATION COMMISSION (CMAC)</w:t>
      </w:r>
    </w:p>
    <w:p w:rsidR="00E64C57" w:rsidRDefault="00E64C57" w:rsidP="00E64C57">
      <w:pPr>
        <w:rPr>
          <w:rFonts w:ascii="Verdana" w:hAnsi="Verdana"/>
          <w:b/>
          <w:sz w:val="16"/>
          <w:szCs w:val="16"/>
        </w:rPr>
      </w:pPr>
    </w:p>
    <w:p w:rsidR="00E64C57" w:rsidRDefault="00E64C57" w:rsidP="00E64C57">
      <w:pPr>
        <w:jc w:val="both"/>
        <w:rPr>
          <w:rFonts w:ascii="Verdana" w:hAnsi="Verdana"/>
          <w:b/>
          <w:sz w:val="28"/>
          <w:szCs w:val="28"/>
        </w:rPr>
      </w:pPr>
      <w:r>
        <w:rPr>
          <w:rFonts w:ascii="Verdana" w:hAnsi="Verdana"/>
          <w:b/>
          <w:sz w:val="28"/>
          <w:szCs w:val="28"/>
        </w:rPr>
        <w:t xml:space="preserve">HELD AT MBABANE </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t xml:space="preserve">SWMB </w:t>
      </w:r>
      <w:r w:rsidR="00562B98">
        <w:rPr>
          <w:rFonts w:ascii="Verdana" w:hAnsi="Verdana"/>
          <w:b/>
          <w:sz w:val="28"/>
          <w:szCs w:val="28"/>
        </w:rPr>
        <w:t>267</w:t>
      </w:r>
      <w:r>
        <w:rPr>
          <w:rFonts w:ascii="Verdana" w:hAnsi="Verdana"/>
          <w:b/>
          <w:sz w:val="28"/>
          <w:szCs w:val="28"/>
        </w:rPr>
        <w:t>/2014</w:t>
      </w:r>
      <w:r>
        <w:rPr>
          <w:rFonts w:ascii="Verdana" w:hAnsi="Verdana"/>
          <w:b/>
          <w:sz w:val="28"/>
          <w:szCs w:val="28"/>
        </w:rPr>
        <w:tab/>
      </w:r>
    </w:p>
    <w:p w:rsidR="00E64C57" w:rsidRDefault="00E64C57" w:rsidP="00E64C57">
      <w:pPr>
        <w:jc w:val="both"/>
        <w:rPr>
          <w:rFonts w:ascii="Verdana" w:hAnsi="Verdana"/>
          <w:b/>
          <w:sz w:val="28"/>
          <w:szCs w:val="28"/>
        </w:rPr>
      </w:pPr>
    </w:p>
    <w:p w:rsidR="00E64C57" w:rsidRDefault="00E64C57" w:rsidP="00E64C57">
      <w:pPr>
        <w:jc w:val="both"/>
        <w:rPr>
          <w:rFonts w:ascii="Verdana" w:hAnsi="Verdana"/>
          <w:b/>
          <w:sz w:val="16"/>
          <w:szCs w:val="16"/>
          <w:u w:val="single"/>
        </w:rPr>
      </w:pPr>
    </w:p>
    <w:p w:rsidR="00E64C57" w:rsidRDefault="00E64C57" w:rsidP="00E64C57">
      <w:pPr>
        <w:jc w:val="both"/>
        <w:rPr>
          <w:rFonts w:ascii="Verdana" w:hAnsi="Verdana"/>
          <w:sz w:val="28"/>
          <w:szCs w:val="28"/>
        </w:rPr>
      </w:pPr>
      <w:r>
        <w:rPr>
          <w:rFonts w:ascii="Verdana" w:hAnsi="Verdana"/>
          <w:sz w:val="28"/>
          <w:szCs w:val="28"/>
        </w:rPr>
        <w:t>In the matter between:-</w:t>
      </w:r>
    </w:p>
    <w:p w:rsidR="00E64C57" w:rsidRDefault="00E64C57" w:rsidP="00E64C57">
      <w:pPr>
        <w:jc w:val="both"/>
        <w:rPr>
          <w:rFonts w:ascii="Verdana" w:hAnsi="Verdana"/>
          <w:sz w:val="16"/>
          <w:szCs w:val="16"/>
        </w:rPr>
      </w:pPr>
    </w:p>
    <w:p w:rsidR="00E64C57" w:rsidRDefault="00E64C57" w:rsidP="00E64C57">
      <w:pPr>
        <w:jc w:val="both"/>
        <w:rPr>
          <w:rFonts w:ascii="Verdana" w:hAnsi="Verdana"/>
          <w:sz w:val="16"/>
          <w:szCs w:val="16"/>
        </w:rPr>
      </w:pPr>
    </w:p>
    <w:p w:rsidR="00562B98" w:rsidRDefault="00562B98" w:rsidP="00E64C57">
      <w:pPr>
        <w:jc w:val="both"/>
        <w:rPr>
          <w:rFonts w:ascii="Verdana" w:hAnsi="Verdana"/>
          <w:b/>
          <w:bCs/>
          <w:caps/>
          <w:sz w:val="28"/>
          <w:szCs w:val="28"/>
        </w:rPr>
      </w:pPr>
      <w:r>
        <w:rPr>
          <w:rFonts w:ascii="Verdana" w:hAnsi="Verdana"/>
          <w:b/>
          <w:bCs/>
          <w:caps/>
          <w:sz w:val="28"/>
          <w:szCs w:val="28"/>
        </w:rPr>
        <w:t xml:space="preserve">WORKERS UNION OF SWAZILAND </w:t>
      </w:r>
    </w:p>
    <w:p w:rsidR="00E64C57" w:rsidRPr="003B3AE9" w:rsidRDefault="00562B98" w:rsidP="00E64C57">
      <w:pPr>
        <w:jc w:val="both"/>
        <w:rPr>
          <w:rFonts w:ascii="Verdana" w:hAnsi="Verdana"/>
          <w:b/>
          <w:bCs/>
          <w:sz w:val="28"/>
          <w:szCs w:val="28"/>
        </w:rPr>
      </w:pPr>
      <w:r>
        <w:rPr>
          <w:rFonts w:ascii="Verdana" w:hAnsi="Verdana"/>
          <w:b/>
          <w:bCs/>
          <w:caps/>
          <w:sz w:val="28"/>
          <w:szCs w:val="28"/>
        </w:rPr>
        <w:t xml:space="preserve">TOWN COUNCILS </w:t>
      </w:r>
      <w:r>
        <w:rPr>
          <w:rFonts w:ascii="Verdana" w:hAnsi="Verdana"/>
          <w:b/>
          <w:bCs/>
          <w:caps/>
          <w:sz w:val="28"/>
          <w:szCs w:val="28"/>
        </w:rPr>
        <w:tab/>
      </w:r>
      <w:r w:rsidR="00E64C57">
        <w:rPr>
          <w:rFonts w:ascii="Verdana" w:hAnsi="Verdana"/>
          <w:b/>
          <w:bCs/>
          <w:caps/>
          <w:sz w:val="28"/>
          <w:szCs w:val="28"/>
        </w:rPr>
        <w:tab/>
      </w:r>
      <w:r w:rsidR="00E64C57">
        <w:rPr>
          <w:rFonts w:ascii="Verdana" w:hAnsi="Verdana"/>
          <w:b/>
          <w:bCs/>
          <w:caps/>
          <w:sz w:val="28"/>
          <w:szCs w:val="28"/>
        </w:rPr>
        <w:tab/>
      </w:r>
      <w:r w:rsidR="00E64C57">
        <w:rPr>
          <w:rFonts w:ascii="Verdana" w:hAnsi="Verdana"/>
          <w:b/>
          <w:bCs/>
          <w:caps/>
          <w:sz w:val="28"/>
          <w:szCs w:val="28"/>
        </w:rPr>
        <w:tab/>
      </w:r>
      <w:r w:rsidR="00E64C57">
        <w:rPr>
          <w:rFonts w:ascii="Verdana" w:hAnsi="Verdana"/>
          <w:b/>
          <w:bCs/>
          <w:caps/>
          <w:sz w:val="28"/>
          <w:szCs w:val="28"/>
        </w:rPr>
        <w:tab/>
      </w:r>
      <w:r w:rsidR="00E64C57">
        <w:rPr>
          <w:rFonts w:ascii="Verdana" w:hAnsi="Verdana"/>
          <w:b/>
          <w:bCs/>
          <w:sz w:val="28"/>
          <w:szCs w:val="28"/>
        </w:rPr>
        <w:t>Applicant</w:t>
      </w:r>
    </w:p>
    <w:p w:rsidR="00E64C57" w:rsidRDefault="00E64C57" w:rsidP="00E64C57">
      <w:pPr>
        <w:jc w:val="both"/>
        <w:rPr>
          <w:rFonts w:ascii="Verdana" w:hAnsi="Verdana"/>
          <w:bCs/>
          <w:sz w:val="28"/>
          <w:szCs w:val="28"/>
        </w:rPr>
      </w:pPr>
    </w:p>
    <w:p w:rsidR="00E64C57" w:rsidRDefault="00E64C57" w:rsidP="00E64C57">
      <w:pPr>
        <w:jc w:val="both"/>
        <w:rPr>
          <w:rFonts w:ascii="Verdana" w:hAnsi="Verdana"/>
          <w:bCs/>
          <w:sz w:val="28"/>
          <w:szCs w:val="28"/>
        </w:rPr>
      </w:pPr>
      <w:r>
        <w:rPr>
          <w:rFonts w:ascii="Verdana" w:hAnsi="Verdana"/>
          <w:bCs/>
          <w:sz w:val="28"/>
          <w:szCs w:val="28"/>
        </w:rPr>
        <w:t>And</w:t>
      </w:r>
    </w:p>
    <w:p w:rsidR="00E64C57" w:rsidRDefault="00E64C57" w:rsidP="00E64C57">
      <w:pPr>
        <w:tabs>
          <w:tab w:val="left" w:pos="5920"/>
        </w:tabs>
        <w:jc w:val="both"/>
        <w:rPr>
          <w:rFonts w:ascii="Verdana" w:hAnsi="Verdana"/>
          <w:b/>
          <w:sz w:val="28"/>
          <w:szCs w:val="28"/>
        </w:rPr>
      </w:pPr>
    </w:p>
    <w:p w:rsidR="00E64C57" w:rsidRDefault="00562B98" w:rsidP="00E64C57">
      <w:pPr>
        <w:tabs>
          <w:tab w:val="left" w:pos="5812"/>
        </w:tabs>
        <w:jc w:val="both"/>
        <w:rPr>
          <w:rFonts w:ascii="Verdana" w:hAnsi="Verdana"/>
          <w:b/>
          <w:bCs/>
          <w:sz w:val="28"/>
          <w:szCs w:val="28"/>
        </w:rPr>
      </w:pPr>
      <w:r>
        <w:rPr>
          <w:rFonts w:ascii="Verdana" w:hAnsi="Verdana"/>
          <w:b/>
          <w:caps/>
          <w:sz w:val="28"/>
          <w:szCs w:val="28"/>
        </w:rPr>
        <w:t>MBABANE CITY COUNCIL</w:t>
      </w:r>
      <w:r w:rsidR="00E64C57">
        <w:rPr>
          <w:rFonts w:ascii="Verdana" w:hAnsi="Verdana"/>
          <w:b/>
          <w:caps/>
          <w:sz w:val="28"/>
          <w:szCs w:val="28"/>
        </w:rPr>
        <w:tab/>
      </w:r>
      <w:r w:rsidR="00E64C57" w:rsidRPr="00F81755">
        <w:rPr>
          <w:rFonts w:ascii="Verdana" w:hAnsi="Verdana"/>
          <w:b/>
          <w:bCs/>
          <w:sz w:val="28"/>
          <w:szCs w:val="28"/>
        </w:rPr>
        <w:t>Respondent</w:t>
      </w:r>
    </w:p>
    <w:p w:rsidR="00E64C57" w:rsidRDefault="00E64C57" w:rsidP="00E64C57">
      <w:pPr>
        <w:tabs>
          <w:tab w:val="left" w:pos="5812"/>
        </w:tabs>
        <w:jc w:val="both"/>
        <w:rPr>
          <w:rFonts w:ascii="Verdana" w:hAnsi="Verdana"/>
          <w:b/>
          <w:bCs/>
          <w:sz w:val="28"/>
          <w:szCs w:val="28"/>
        </w:rPr>
      </w:pPr>
    </w:p>
    <w:p w:rsidR="00E64C57" w:rsidRDefault="00E64C57" w:rsidP="00E64C57">
      <w:pPr>
        <w:tabs>
          <w:tab w:val="left" w:pos="5920"/>
        </w:tabs>
        <w:jc w:val="both"/>
        <w:rPr>
          <w:rFonts w:ascii="Verdana" w:hAnsi="Verdana"/>
          <w:b/>
          <w:sz w:val="28"/>
          <w:szCs w:val="28"/>
        </w:rPr>
      </w:pPr>
      <w:r>
        <w:rPr>
          <w:rFonts w:ascii="Verdana" w:hAnsi="Verdana"/>
          <w:b/>
          <w:sz w:val="28"/>
          <w:szCs w:val="28"/>
        </w:rPr>
        <w:tab/>
      </w:r>
    </w:p>
    <w:p w:rsidR="00E64C57" w:rsidRDefault="00E64C57" w:rsidP="00E64C57">
      <w:pPr>
        <w:rPr>
          <w:rFonts w:ascii="Verdana" w:hAnsi="Verdana"/>
          <w:b/>
          <w:sz w:val="28"/>
          <w:szCs w:val="28"/>
        </w:rPr>
      </w:pPr>
      <w:r>
        <w:rPr>
          <w:rFonts w:ascii="Verdana" w:hAnsi="Verdana"/>
          <w:b/>
          <w:sz w:val="28"/>
          <w:szCs w:val="28"/>
        </w:rPr>
        <w:t xml:space="preserve">___________________________________________       </w:t>
      </w:r>
    </w:p>
    <w:p w:rsidR="00E64C57" w:rsidRDefault="00E64C57" w:rsidP="00E64C57">
      <w:pPr>
        <w:tabs>
          <w:tab w:val="left" w:pos="2679"/>
        </w:tabs>
        <w:spacing w:line="360" w:lineRule="auto"/>
        <w:jc w:val="center"/>
        <w:rPr>
          <w:rFonts w:ascii="Verdana" w:hAnsi="Verdana"/>
          <w:b/>
          <w:sz w:val="28"/>
          <w:szCs w:val="28"/>
        </w:rPr>
      </w:pPr>
    </w:p>
    <w:p w:rsidR="00E64C57" w:rsidRPr="00F81755" w:rsidRDefault="00E64C57" w:rsidP="00E64C57">
      <w:pPr>
        <w:tabs>
          <w:tab w:val="left" w:pos="2679"/>
        </w:tabs>
        <w:spacing w:line="360" w:lineRule="auto"/>
        <w:jc w:val="center"/>
        <w:rPr>
          <w:rFonts w:ascii="Verdana" w:hAnsi="Verdana"/>
          <w:b/>
          <w:sz w:val="28"/>
          <w:szCs w:val="28"/>
        </w:rPr>
      </w:pPr>
      <w:r>
        <w:rPr>
          <w:rFonts w:ascii="Verdana" w:hAnsi="Verdana"/>
          <w:b/>
          <w:sz w:val="28"/>
          <w:szCs w:val="28"/>
        </w:rPr>
        <w:t xml:space="preserve">RULING </w:t>
      </w:r>
      <w:r w:rsidRPr="003037CB">
        <w:rPr>
          <w:rFonts w:ascii="Verdana" w:hAnsi="Verdana"/>
          <w:b/>
          <w:caps/>
          <w:sz w:val="28"/>
          <w:szCs w:val="28"/>
        </w:rPr>
        <w:t xml:space="preserve">on </w:t>
      </w:r>
      <w:r>
        <w:rPr>
          <w:rFonts w:ascii="Verdana" w:hAnsi="Verdana"/>
          <w:b/>
          <w:caps/>
          <w:sz w:val="28"/>
          <w:szCs w:val="28"/>
        </w:rPr>
        <w:t>points in limine</w:t>
      </w:r>
    </w:p>
    <w:p w:rsidR="00E64C57" w:rsidRPr="00F81755" w:rsidRDefault="00E64C57" w:rsidP="00E64C57">
      <w:pPr>
        <w:spacing w:line="360" w:lineRule="auto"/>
        <w:jc w:val="both"/>
        <w:rPr>
          <w:rFonts w:ascii="Verdana" w:hAnsi="Verdana"/>
          <w:b/>
          <w:sz w:val="28"/>
          <w:szCs w:val="28"/>
        </w:rPr>
      </w:pPr>
      <w:r w:rsidRPr="00F81755">
        <w:rPr>
          <w:rFonts w:ascii="Verdana" w:hAnsi="Verdana"/>
          <w:b/>
          <w:sz w:val="28"/>
          <w:szCs w:val="28"/>
        </w:rPr>
        <w:t>___________________________________________</w:t>
      </w:r>
    </w:p>
    <w:p w:rsidR="00E64C57" w:rsidRDefault="00E64C57" w:rsidP="00E64C57">
      <w:pPr>
        <w:numPr>
          <w:ilvl w:val="0"/>
          <w:numId w:val="1"/>
        </w:numPr>
        <w:spacing w:line="360" w:lineRule="auto"/>
        <w:jc w:val="both"/>
        <w:rPr>
          <w:rFonts w:ascii="Verdana" w:hAnsi="Verdana"/>
          <w:b/>
          <w:sz w:val="28"/>
          <w:szCs w:val="28"/>
          <w:u w:val="single"/>
        </w:rPr>
      </w:pPr>
      <w:r>
        <w:rPr>
          <w:rFonts w:ascii="Verdana" w:hAnsi="Verdana"/>
          <w:b/>
          <w:sz w:val="28"/>
          <w:szCs w:val="28"/>
          <w:u w:val="single"/>
        </w:rPr>
        <w:t>BACKGROUND</w:t>
      </w:r>
    </w:p>
    <w:p w:rsidR="00E64C57" w:rsidRDefault="00E64C57" w:rsidP="00E64C57">
      <w:pPr>
        <w:spacing w:line="360" w:lineRule="auto"/>
        <w:jc w:val="both"/>
        <w:rPr>
          <w:rFonts w:ascii="Verdana" w:hAnsi="Verdana"/>
        </w:rPr>
      </w:pPr>
    </w:p>
    <w:p w:rsidR="00744FE9" w:rsidRDefault="00E64C57" w:rsidP="00E64C57">
      <w:pPr>
        <w:numPr>
          <w:ilvl w:val="1"/>
          <w:numId w:val="2"/>
        </w:numPr>
        <w:spacing w:line="360" w:lineRule="auto"/>
        <w:jc w:val="both"/>
        <w:rPr>
          <w:rFonts w:ascii="Verdana" w:hAnsi="Verdana"/>
        </w:rPr>
      </w:pPr>
      <w:r w:rsidRPr="00744FE9">
        <w:rPr>
          <w:rFonts w:ascii="Verdana" w:hAnsi="Verdana"/>
        </w:rPr>
        <w:t xml:space="preserve">The Applicant is </w:t>
      </w:r>
      <w:r w:rsidR="00562B98" w:rsidRPr="00744FE9">
        <w:rPr>
          <w:rFonts w:ascii="Verdana" w:hAnsi="Verdana"/>
        </w:rPr>
        <w:t xml:space="preserve">the Workers </w:t>
      </w:r>
      <w:r w:rsidR="00744FE9" w:rsidRPr="00744FE9">
        <w:rPr>
          <w:rFonts w:ascii="Verdana" w:hAnsi="Verdana"/>
        </w:rPr>
        <w:t>Union of Swaziland Town Councils</w:t>
      </w:r>
      <w:r w:rsidR="009D624A">
        <w:rPr>
          <w:rFonts w:ascii="Verdana" w:hAnsi="Verdana"/>
        </w:rPr>
        <w:t xml:space="preserve"> (hereinafter referred to as WUSTC)</w:t>
      </w:r>
      <w:r w:rsidR="00744FE9" w:rsidRPr="00744FE9">
        <w:rPr>
          <w:rFonts w:ascii="Verdana" w:hAnsi="Verdana"/>
        </w:rPr>
        <w:t>, a Trade Union duly recognized by the Mbabane City Council</w:t>
      </w:r>
      <w:r w:rsidRPr="00744FE9">
        <w:rPr>
          <w:rFonts w:ascii="Verdana" w:hAnsi="Verdana"/>
        </w:rPr>
        <w:t xml:space="preserve">. </w:t>
      </w:r>
      <w:r w:rsidR="00744FE9" w:rsidRPr="00744FE9">
        <w:rPr>
          <w:rFonts w:ascii="Verdana" w:hAnsi="Verdana"/>
        </w:rPr>
        <w:t>It</w:t>
      </w:r>
      <w:r w:rsidRPr="00744FE9">
        <w:rPr>
          <w:rFonts w:ascii="Verdana" w:hAnsi="Verdana"/>
        </w:rPr>
        <w:t xml:space="preserve"> was represented by </w:t>
      </w:r>
      <w:r w:rsidR="00744FE9" w:rsidRPr="00744FE9">
        <w:rPr>
          <w:rFonts w:ascii="Verdana" w:hAnsi="Verdana"/>
        </w:rPr>
        <w:t>Mr. Musa Langwenya, a Union Official</w:t>
      </w:r>
    </w:p>
    <w:p w:rsidR="00E64C57" w:rsidRPr="00744FE9" w:rsidRDefault="00E64C57" w:rsidP="00744FE9">
      <w:pPr>
        <w:spacing w:line="360" w:lineRule="auto"/>
        <w:ind w:left="720"/>
        <w:jc w:val="both"/>
        <w:rPr>
          <w:rFonts w:ascii="Verdana" w:hAnsi="Verdana"/>
        </w:rPr>
      </w:pPr>
      <w:r w:rsidRPr="00744FE9">
        <w:rPr>
          <w:rFonts w:ascii="Verdana" w:hAnsi="Verdana"/>
        </w:rPr>
        <w:tab/>
      </w:r>
    </w:p>
    <w:p w:rsidR="00E64C57" w:rsidRDefault="00E64C57" w:rsidP="00E64C57">
      <w:pPr>
        <w:numPr>
          <w:ilvl w:val="1"/>
          <w:numId w:val="2"/>
        </w:numPr>
        <w:spacing w:line="360" w:lineRule="auto"/>
        <w:jc w:val="both"/>
        <w:rPr>
          <w:rFonts w:ascii="Verdana" w:hAnsi="Verdana"/>
        </w:rPr>
      </w:pPr>
      <w:r w:rsidRPr="009D624A">
        <w:rPr>
          <w:rFonts w:ascii="Verdana" w:hAnsi="Verdana"/>
        </w:rPr>
        <w:t xml:space="preserve">The Respondent </w:t>
      </w:r>
      <w:r w:rsidR="00744FE9" w:rsidRPr="009D624A">
        <w:rPr>
          <w:rFonts w:ascii="Verdana" w:hAnsi="Verdana"/>
        </w:rPr>
        <w:t>is</w:t>
      </w:r>
      <w:r w:rsidRPr="009D624A">
        <w:rPr>
          <w:rFonts w:ascii="Verdana" w:hAnsi="Verdana"/>
        </w:rPr>
        <w:t xml:space="preserve"> </w:t>
      </w:r>
      <w:r w:rsidR="00744FE9" w:rsidRPr="009D624A">
        <w:rPr>
          <w:rFonts w:ascii="Verdana" w:hAnsi="Verdana"/>
        </w:rPr>
        <w:t>Mbabane City Council</w:t>
      </w:r>
      <w:r w:rsidRPr="009D624A">
        <w:rPr>
          <w:rFonts w:ascii="Verdana" w:hAnsi="Verdana"/>
        </w:rPr>
        <w:t>, wh</w:t>
      </w:r>
      <w:r w:rsidR="00744FE9" w:rsidRPr="009D624A">
        <w:rPr>
          <w:rFonts w:ascii="Verdana" w:hAnsi="Verdana"/>
        </w:rPr>
        <w:t xml:space="preserve">ich was duly </w:t>
      </w:r>
      <w:r w:rsidRPr="009D624A">
        <w:rPr>
          <w:rFonts w:ascii="Verdana" w:hAnsi="Verdana"/>
        </w:rPr>
        <w:t xml:space="preserve">represented </w:t>
      </w:r>
      <w:r w:rsidR="00744FE9" w:rsidRPr="009D624A">
        <w:rPr>
          <w:rFonts w:ascii="Verdana" w:hAnsi="Verdana"/>
        </w:rPr>
        <w:t xml:space="preserve">by Mr. Sicelo Dlamini, the Human Resources Manager. </w:t>
      </w:r>
    </w:p>
    <w:p w:rsidR="009D624A" w:rsidRDefault="009D624A" w:rsidP="009D624A">
      <w:pPr>
        <w:pStyle w:val="ListParagraph"/>
        <w:rPr>
          <w:rFonts w:ascii="Verdana" w:hAnsi="Verdana"/>
        </w:rPr>
      </w:pPr>
    </w:p>
    <w:p w:rsidR="009D624A" w:rsidRPr="009D624A" w:rsidRDefault="009D624A" w:rsidP="00E64C57">
      <w:pPr>
        <w:numPr>
          <w:ilvl w:val="1"/>
          <w:numId w:val="2"/>
        </w:numPr>
        <w:spacing w:line="360" w:lineRule="auto"/>
        <w:jc w:val="both"/>
        <w:rPr>
          <w:rFonts w:ascii="Verdana" w:hAnsi="Verdana"/>
        </w:rPr>
      </w:pPr>
      <w:r>
        <w:rPr>
          <w:rFonts w:ascii="Verdana" w:hAnsi="Verdana"/>
        </w:rPr>
        <w:t xml:space="preserve">The Trade Union reported a dispute </w:t>
      </w:r>
      <w:r w:rsidR="00F77567">
        <w:rPr>
          <w:rFonts w:ascii="Verdana" w:hAnsi="Verdana"/>
        </w:rPr>
        <w:t xml:space="preserve">to the Commission </w:t>
      </w:r>
      <w:r>
        <w:rPr>
          <w:rFonts w:ascii="Verdana" w:hAnsi="Verdana"/>
        </w:rPr>
        <w:t xml:space="preserve">on behalf of five of </w:t>
      </w:r>
      <w:r w:rsidR="00F77567">
        <w:rPr>
          <w:rFonts w:ascii="Verdana" w:hAnsi="Verdana"/>
        </w:rPr>
        <w:t>its</w:t>
      </w:r>
      <w:r>
        <w:rPr>
          <w:rFonts w:ascii="Verdana" w:hAnsi="Verdana"/>
        </w:rPr>
        <w:t xml:space="preserve"> members</w:t>
      </w:r>
    </w:p>
    <w:p w:rsidR="00E64C57" w:rsidRPr="00AE09C2" w:rsidRDefault="00E64C57" w:rsidP="00E64C57">
      <w:pPr>
        <w:spacing w:line="360" w:lineRule="auto"/>
        <w:ind w:left="720"/>
        <w:jc w:val="both"/>
        <w:rPr>
          <w:rFonts w:ascii="Verdana" w:hAnsi="Verdana"/>
        </w:rPr>
      </w:pPr>
    </w:p>
    <w:p w:rsidR="00E64C57" w:rsidRDefault="00E64C57" w:rsidP="00E64C57">
      <w:pPr>
        <w:numPr>
          <w:ilvl w:val="1"/>
          <w:numId w:val="2"/>
        </w:numPr>
        <w:spacing w:line="360" w:lineRule="auto"/>
        <w:jc w:val="both"/>
        <w:rPr>
          <w:rFonts w:ascii="Verdana" w:hAnsi="Verdana"/>
        </w:rPr>
      </w:pPr>
      <w:r>
        <w:rPr>
          <w:rFonts w:ascii="Verdana" w:hAnsi="Verdana"/>
        </w:rPr>
        <w:t xml:space="preserve">In the conciliation proceedings that were held on the </w:t>
      </w:r>
      <w:r w:rsidR="009D624A">
        <w:rPr>
          <w:rFonts w:ascii="Verdana" w:hAnsi="Verdana"/>
        </w:rPr>
        <w:t>27</w:t>
      </w:r>
      <w:r w:rsidRPr="00E26E71">
        <w:rPr>
          <w:rFonts w:ascii="Verdana" w:hAnsi="Verdana"/>
          <w:vertAlign w:val="superscript"/>
        </w:rPr>
        <w:t>th</w:t>
      </w:r>
      <w:r>
        <w:rPr>
          <w:rFonts w:ascii="Verdana" w:hAnsi="Verdana"/>
        </w:rPr>
        <w:t xml:space="preserve"> of </w:t>
      </w:r>
      <w:r w:rsidR="009D624A">
        <w:rPr>
          <w:rFonts w:ascii="Verdana" w:hAnsi="Verdana"/>
        </w:rPr>
        <w:t>August</w:t>
      </w:r>
      <w:r>
        <w:rPr>
          <w:rFonts w:ascii="Verdana" w:hAnsi="Verdana"/>
        </w:rPr>
        <w:t xml:space="preserve"> 2014, at </w:t>
      </w:r>
      <w:r w:rsidR="009D624A">
        <w:rPr>
          <w:rFonts w:ascii="Verdana" w:hAnsi="Verdana"/>
        </w:rPr>
        <w:t>11</w:t>
      </w:r>
      <w:r>
        <w:rPr>
          <w:rFonts w:ascii="Verdana" w:hAnsi="Verdana"/>
        </w:rPr>
        <w:t>:30 am, at the CMAC offices, Asakhe House, the Respondent</w:t>
      </w:r>
      <w:r w:rsidR="00540121">
        <w:rPr>
          <w:rFonts w:ascii="Verdana" w:hAnsi="Verdana"/>
        </w:rPr>
        <w:t>s</w:t>
      </w:r>
      <w:r>
        <w:rPr>
          <w:rFonts w:ascii="Verdana" w:hAnsi="Verdana"/>
        </w:rPr>
        <w:t xml:space="preserve"> raised a number of </w:t>
      </w:r>
      <w:r w:rsidRPr="00A67C87">
        <w:rPr>
          <w:rFonts w:ascii="Verdana" w:hAnsi="Verdana"/>
          <w:i/>
        </w:rPr>
        <w:t>points in limine</w:t>
      </w:r>
      <w:r>
        <w:rPr>
          <w:rFonts w:ascii="Verdana" w:hAnsi="Verdana"/>
        </w:rPr>
        <w:t xml:space="preserve"> on why the conciliation should not proceed. </w:t>
      </w:r>
    </w:p>
    <w:p w:rsidR="00E64C57" w:rsidRDefault="00E64C57" w:rsidP="00E64C57">
      <w:pPr>
        <w:spacing w:line="360" w:lineRule="auto"/>
        <w:jc w:val="both"/>
        <w:rPr>
          <w:rFonts w:ascii="Verdana" w:hAnsi="Verdana"/>
        </w:rPr>
      </w:pPr>
    </w:p>
    <w:p w:rsidR="00E64C57" w:rsidRDefault="00E64C57" w:rsidP="00E64C57">
      <w:pPr>
        <w:numPr>
          <w:ilvl w:val="1"/>
          <w:numId w:val="2"/>
        </w:numPr>
        <w:spacing w:line="360" w:lineRule="auto"/>
        <w:jc w:val="both"/>
        <w:rPr>
          <w:rFonts w:ascii="Verdana" w:hAnsi="Verdana"/>
        </w:rPr>
      </w:pPr>
      <w:r>
        <w:rPr>
          <w:rFonts w:ascii="Verdana" w:hAnsi="Verdana"/>
        </w:rPr>
        <w:t>The reasons advanced by the Respondent</w:t>
      </w:r>
      <w:r w:rsidR="003E5249">
        <w:rPr>
          <w:rFonts w:ascii="Verdana" w:hAnsi="Verdana"/>
        </w:rPr>
        <w:t>s</w:t>
      </w:r>
      <w:r>
        <w:rPr>
          <w:rFonts w:ascii="Verdana" w:hAnsi="Verdana"/>
        </w:rPr>
        <w:t xml:space="preserve"> on why the matter should not proceed were </w:t>
      </w:r>
      <w:r w:rsidRPr="00AE09C2">
        <w:rPr>
          <w:rFonts w:ascii="Verdana" w:hAnsi="Verdana"/>
          <w:i/>
        </w:rPr>
        <w:t>inter alia</w:t>
      </w:r>
      <w:r>
        <w:rPr>
          <w:rFonts w:ascii="Verdana" w:hAnsi="Verdana"/>
        </w:rPr>
        <w:t xml:space="preserve"> that:</w:t>
      </w:r>
    </w:p>
    <w:p w:rsidR="00E64C57" w:rsidRDefault="00E64C57" w:rsidP="00E64C57">
      <w:pPr>
        <w:pStyle w:val="ListParagraph"/>
        <w:rPr>
          <w:rFonts w:ascii="Verdana" w:hAnsi="Verdana"/>
        </w:rPr>
      </w:pPr>
    </w:p>
    <w:p w:rsidR="00E64C57" w:rsidRPr="00301049" w:rsidRDefault="00E64C57" w:rsidP="002421A8">
      <w:pPr>
        <w:numPr>
          <w:ilvl w:val="2"/>
          <w:numId w:val="2"/>
        </w:numPr>
        <w:tabs>
          <w:tab w:val="clear" w:pos="1080"/>
        </w:tabs>
        <w:spacing w:line="360" w:lineRule="auto"/>
        <w:ind w:left="2127" w:hanging="1276"/>
        <w:jc w:val="both"/>
        <w:rPr>
          <w:rFonts w:ascii="Verdana" w:hAnsi="Verdana"/>
          <w:i/>
        </w:rPr>
      </w:pPr>
      <w:r w:rsidRPr="003E5249">
        <w:rPr>
          <w:rFonts w:ascii="Verdana" w:hAnsi="Verdana"/>
        </w:rPr>
        <w:t>The Applicant</w:t>
      </w:r>
      <w:r w:rsidR="00733244" w:rsidRPr="003E5249">
        <w:rPr>
          <w:rFonts w:ascii="Verdana" w:hAnsi="Verdana"/>
        </w:rPr>
        <w:t xml:space="preserve"> </w:t>
      </w:r>
      <w:r w:rsidR="009D624A">
        <w:rPr>
          <w:rFonts w:ascii="Verdana" w:hAnsi="Verdana"/>
        </w:rPr>
        <w:t xml:space="preserve">should not have brought the matter to CMAC on behalf of the employees. The Respondent produced a letter written </w:t>
      </w:r>
      <w:r w:rsidR="00CC22E2">
        <w:rPr>
          <w:rFonts w:ascii="Verdana" w:hAnsi="Verdana"/>
        </w:rPr>
        <w:t>on the 17</w:t>
      </w:r>
      <w:r w:rsidR="00CC22E2" w:rsidRPr="00CC22E2">
        <w:rPr>
          <w:rFonts w:ascii="Verdana" w:hAnsi="Verdana"/>
          <w:vertAlign w:val="superscript"/>
        </w:rPr>
        <w:t>th</w:t>
      </w:r>
      <w:r w:rsidR="00CC22E2">
        <w:rPr>
          <w:rFonts w:ascii="Verdana" w:hAnsi="Verdana"/>
        </w:rPr>
        <w:t xml:space="preserve"> December 2013, </w:t>
      </w:r>
      <w:r w:rsidR="009D624A">
        <w:rPr>
          <w:rFonts w:ascii="Verdana" w:hAnsi="Verdana"/>
        </w:rPr>
        <w:t>by one of the persons whose matter is brought on his behalf which stat</w:t>
      </w:r>
      <w:r w:rsidR="00CC22E2">
        <w:rPr>
          <w:rFonts w:ascii="Verdana" w:hAnsi="Verdana"/>
        </w:rPr>
        <w:t xml:space="preserve">es that </w:t>
      </w:r>
      <w:r w:rsidR="00CC22E2" w:rsidRPr="00301049">
        <w:rPr>
          <w:rFonts w:ascii="Verdana" w:hAnsi="Verdana"/>
          <w:i/>
        </w:rPr>
        <w:t>“Technically I and the other retired employees are no longer members of the Union. As such we do not pay subscriptions to it; we did not mandate the Union to handle the matter on our behalf”.</w:t>
      </w:r>
    </w:p>
    <w:p w:rsidR="00CC22E2" w:rsidRDefault="00CC22E2" w:rsidP="00CC22E2">
      <w:pPr>
        <w:spacing w:line="360" w:lineRule="auto"/>
        <w:ind w:left="1080"/>
        <w:jc w:val="both"/>
        <w:rPr>
          <w:rFonts w:ascii="Verdana" w:hAnsi="Verdana"/>
        </w:rPr>
      </w:pPr>
    </w:p>
    <w:p w:rsidR="00CC22E2" w:rsidRDefault="00CC22E2" w:rsidP="002421A8">
      <w:pPr>
        <w:numPr>
          <w:ilvl w:val="2"/>
          <w:numId w:val="2"/>
        </w:numPr>
        <w:tabs>
          <w:tab w:val="clear" w:pos="1080"/>
        </w:tabs>
        <w:spacing w:line="360" w:lineRule="auto"/>
        <w:ind w:left="2127" w:hanging="1276"/>
        <w:jc w:val="both"/>
        <w:rPr>
          <w:rFonts w:ascii="Verdana" w:hAnsi="Verdana"/>
        </w:rPr>
      </w:pPr>
      <w:r>
        <w:rPr>
          <w:rFonts w:ascii="Verdana" w:hAnsi="Verdana"/>
        </w:rPr>
        <w:t>The Respondent further stated that the letter was written in response to a letter written to the employees by the City Council, wherein it had stated that it would not deal with the employees individually but would deal with them through their Union</w:t>
      </w:r>
      <w:r w:rsidR="002421A8">
        <w:rPr>
          <w:rFonts w:ascii="Verdana" w:hAnsi="Verdana"/>
        </w:rPr>
        <w:t>.</w:t>
      </w:r>
    </w:p>
    <w:p w:rsidR="00CC22E2" w:rsidRDefault="00CC22E2" w:rsidP="002421A8">
      <w:pPr>
        <w:numPr>
          <w:ilvl w:val="2"/>
          <w:numId w:val="2"/>
        </w:numPr>
        <w:tabs>
          <w:tab w:val="clear" w:pos="1080"/>
        </w:tabs>
        <w:spacing w:line="360" w:lineRule="auto"/>
        <w:ind w:left="2127" w:hanging="1276"/>
        <w:jc w:val="both"/>
        <w:rPr>
          <w:rFonts w:ascii="Verdana" w:hAnsi="Verdana"/>
        </w:rPr>
      </w:pPr>
      <w:r>
        <w:rPr>
          <w:rFonts w:ascii="Verdana" w:hAnsi="Verdana"/>
        </w:rPr>
        <w:t>In response, the Applicant representative stated that the letter was written by the employees because of the pain they were feeling at the time because of the way the employer was treating them</w:t>
      </w:r>
      <w:r w:rsidR="00301049">
        <w:rPr>
          <w:rFonts w:ascii="Verdana" w:hAnsi="Verdana"/>
        </w:rPr>
        <w:t xml:space="preserve"> by not wanting to deal with them and the </w:t>
      </w:r>
      <w:r w:rsidR="002421A8">
        <w:rPr>
          <w:rFonts w:ascii="Verdana" w:hAnsi="Verdana"/>
        </w:rPr>
        <w:t xml:space="preserve">office of the </w:t>
      </w:r>
      <w:r w:rsidR="00301049">
        <w:rPr>
          <w:rFonts w:ascii="Verdana" w:hAnsi="Verdana"/>
        </w:rPr>
        <w:t>Labour Commission</w:t>
      </w:r>
      <w:r w:rsidR="002421A8">
        <w:rPr>
          <w:rFonts w:ascii="Verdana" w:hAnsi="Verdana"/>
        </w:rPr>
        <w:t>er</w:t>
      </w:r>
      <w:r w:rsidR="00301049">
        <w:rPr>
          <w:rFonts w:ascii="Verdana" w:hAnsi="Verdana"/>
        </w:rPr>
        <w:t xml:space="preserve"> regarding this matter</w:t>
      </w:r>
    </w:p>
    <w:p w:rsidR="00CC22E2" w:rsidRDefault="00CC22E2" w:rsidP="00CC22E2">
      <w:pPr>
        <w:pStyle w:val="ListParagraph"/>
        <w:rPr>
          <w:rFonts w:ascii="Verdana" w:hAnsi="Verdana"/>
        </w:rPr>
      </w:pPr>
    </w:p>
    <w:p w:rsidR="00CC22E2" w:rsidRPr="003E5249" w:rsidRDefault="00CC22E2" w:rsidP="002421A8">
      <w:pPr>
        <w:numPr>
          <w:ilvl w:val="2"/>
          <w:numId w:val="2"/>
        </w:numPr>
        <w:tabs>
          <w:tab w:val="clear" w:pos="1080"/>
        </w:tabs>
        <w:spacing w:line="360" w:lineRule="auto"/>
        <w:ind w:left="2127" w:hanging="1276"/>
        <w:jc w:val="both"/>
        <w:rPr>
          <w:rFonts w:ascii="Verdana" w:hAnsi="Verdana"/>
        </w:rPr>
      </w:pPr>
      <w:r>
        <w:rPr>
          <w:rFonts w:ascii="Verdana" w:hAnsi="Verdana"/>
        </w:rPr>
        <w:t>Further to that, Applicant states that the letters that the Respondent is bringing forward were withdrawn by them</w:t>
      </w:r>
      <w:r w:rsidR="00917836">
        <w:rPr>
          <w:rFonts w:ascii="Verdana" w:hAnsi="Verdana"/>
        </w:rPr>
        <w:t xml:space="preserve"> </w:t>
      </w:r>
      <w:r w:rsidR="002421A8">
        <w:rPr>
          <w:rFonts w:ascii="Verdana" w:hAnsi="Verdana"/>
        </w:rPr>
        <w:t xml:space="preserve">together </w:t>
      </w:r>
      <w:r w:rsidR="00917836">
        <w:rPr>
          <w:rFonts w:ascii="Verdana" w:hAnsi="Verdana"/>
        </w:rPr>
        <w:t xml:space="preserve">with the first dispute they had lodged and </w:t>
      </w:r>
      <w:r w:rsidR="009A2BE4">
        <w:rPr>
          <w:rFonts w:ascii="Verdana" w:hAnsi="Verdana"/>
        </w:rPr>
        <w:t>withdrew</w:t>
      </w:r>
      <w:r w:rsidR="002421A8">
        <w:rPr>
          <w:rFonts w:ascii="Verdana" w:hAnsi="Verdana"/>
        </w:rPr>
        <w:t xml:space="preserve"> at CMAC on the 9</w:t>
      </w:r>
      <w:r w:rsidR="002421A8" w:rsidRPr="002421A8">
        <w:rPr>
          <w:rFonts w:ascii="Verdana" w:hAnsi="Verdana"/>
          <w:vertAlign w:val="superscript"/>
        </w:rPr>
        <w:t>th</w:t>
      </w:r>
      <w:r w:rsidR="002421A8">
        <w:rPr>
          <w:rFonts w:ascii="Verdana" w:hAnsi="Verdana"/>
        </w:rPr>
        <w:t xml:space="preserve"> June 2014</w:t>
      </w:r>
      <w:r w:rsidR="009A2BE4">
        <w:rPr>
          <w:rFonts w:ascii="Verdana" w:hAnsi="Verdana"/>
        </w:rPr>
        <w:t>;</w:t>
      </w:r>
      <w:r w:rsidR="00917836">
        <w:rPr>
          <w:rFonts w:ascii="Verdana" w:hAnsi="Verdana"/>
        </w:rPr>
        <w:t xml:space="preserve"> they do not understand why the Responden</w:t>
      </w:r>
      <w:r w:rsidR="00CB7286">
        <w:rPr>
          <w:rFonts w:ascii="Verdana" w:hAnsi="Verdana"/>
        </w:rPr>
        <w:t>t is bringing up those letters since</w:t>
      </w:r>
      <w:r w:rsidR="00917836">
        <w:rPr>
          <w:rFonts w:ascii="Verdana" w:hAnsi="Verdana"/>
        </w:rPr>
        <w:t xml:space="preserve"> they are not part of the dispute they have lodged.</w:t>
      </w:r>
    </w:p>
    <w:p w:rsidR="002A0492" w:rsidRDefault="002A0492" w:rsidP="002A0492">
      <w:pPr>
        <w:pStyle w:val="ListParagraph"/>
        <w:rPr>
          <w:rFonts w:ascii="Verdana" w:hAnsi="Verdana"/>
        </w:rPr>
      </w:pPr>
    </w:p>
    <w:p w:rsidR="00E64C57" w:rsidRPr="002421A8" w:rsidRDefault="00733244" w:rsidP="002421A8">
      <w:pPr>
        <w:pStyle w:val="ListParagraph"/>
        <w:numPr>
          <w:ilvl w:val="1"/>
          <w:numId w:val="2"/>
        </w:numPr>
        <w:spacing w:line="360" w:lineRule="auto"/>
        <w:jc w:val="both"/>
        <w:rPr>
          <w:rFonts w:ascii="Verdana" w:hAnsi="Verdana"/>
        </w:rPr>
      </w:pPr>
      <w:r w:rsidRPr="002421A8">
        <w:rPr>
          <w:rFonts w:ascii="Verdana" w:hAnsi="Verdana"/>
        </w:rPr>
        <w:t xml:space="preserve">Another point </w:t>
      </w:r>
      <w:r w:rsidR="002421A8">
        <w:rPr>
          <w:rFonts w:ascii="Verdana" w:hAnsi="Verdana"/>
        </w:rPr>
        <w:t xml:space="preserve">of contention between the parties </w:t>
      </w:r>
      <w:r w:rsidRPr="002421A8">
        <w:rPr>
          <w:rFonts w:ascii="Verdana" w:hAnsi="Verdana"/>
        </w:rPr>
        <w:t>is whether the Commission had jurisdiction to hear this matter.</w:t>
      </w:r>
    </w:p>
    <w:p w:rsidR="002A0492" w:rsidRDefault="002A0492" w:rsidP="002A0492">
      <w:pPr>
        <w:pStyle w:val="ListParagraph"/>
        <w:rPr>
          <w:rFonts w:ascii="Verdana" w:hAnsi="Verdana"/>
        </w:rPr>
      </w:pPr>
    </w:p>
    <w:p w:rsidR="00E64C57" w:rsidRDefault="00917836" w:rsidP="009668C5">
      <w:pPr>
        <w:numPr>
          <w:ilvl w:val="2"/>
          <w:numId w:val="2"/>
        </w:numPr>
        <w:tabs>
          <w:tab w:val="clear" w:pos="1080"/>
        </w:tabs>
        <w:spacing w:line="360" w:lineRule="auto"/>
        <w:ind w:left="2127" w:hanging="1276"/>
        <w:jc w:val="both"/>
        <w:rPr>
          <w:rFonts w:ascii="Verdana" w:hAnsi="Verdana"/>
        </w:rPr>
      </w:pPr>
      <w:r>
        <w:rPr>
          <w:rFonts w:ascii="Verdana" w:hAnsi="Verdana"/>
        </w:rPr>
        <w:t xml:space="preserve">The Respondents referred to the case of </w:t>
      </w:r>
      <w:r w:rsidR="003563E9" w:rsidRPr="002421A8">
        <w:rPr>
          <w:rFonts w:ascii="Verdana" w:hAnsi="Verdana"/>
          <w:b/>
          <w:i/>
        </w:rPr>
        <w:t xml:space="preserve">Magdalen </w:t>
      </w:r>
      <w:r w:rsidRPr="002421A8">
        <w:rPr>
          <w:rFonts w:ascii="Verdana" w:hAnsi="Verdana"/>
          <w:b/>
          <w:i/>
        </w:rPr>
        <w:t xml:space="preserve">Thring </w:t>
      </w:r>
      <w:r w:rsidR="00C10B3D">
        <w:rPr>
          <w:rFonts w:ascii="Verdana" w:hAnsi="Verdana"/>
          <w:b/>
          <w:i/>
        </w:rPr>
        <w:t>v</w:t>
      </w:r>
      <w:r w:rsidRPr="002421A8">
        <w:rPr>
          <w:rFonts w:ascii="Verdana" w:hAnsi="Verdana"/>
          <w:b/>
          <w:i/>
        </w:rPr>
        <w:t xml:space="preserve"> Dunns </w:t>
      </w:r>
      <w:r w:rsidR="003563E9" w:rsidRPr="002421A8">
        <w:rPr>
          <w:rFonts w:ascii="Verdana" w:hAnsi="Verdana"/>
          <w:b/>
          <w:i/>
        </w:rPr>
        <w:t>Swaziland</w:t>
      </w:r>
      <w:r w:rsidRPr="002421A8">
        <w:rPr>
          <w:rFonts w:ascii="Verdana" w:hAnsi="Verdana"/>
          <w:b/>
          <w:i/>
        </w:rPr>
        <w:t xml:space="preserve"> ICA Case </w:t>
      </w:r>
      <w:r w:rsidR="003563E9" w:rsidRPr="002421A8">
        <w:rPr>
          <w:rFonts w:ascii="Verdana" w:hAnsi="Verdana"/>
          <w:b/>
          <w:i/>
        </w:rPr>
        <w:t>No.</w:t>
      </w:r>
      <w:r w:rsidRPr="002421A8">
        <w:rPr>
          <w:rFonts w:ascii="Verdana" w:hAnsi="Verdana"/>
          <w:b/>
          <w:i/>
        </w:rPr>
        <w:t xml:space="preserve"> </w:t>
      </w:r>
      <w:r w:rsidR="003563E9" w:rsidRPr="002421A8">
        <w:rPr>
          <w:rFonts w:ascii="Verdana" w:hAnsi="Verdana"/>
          <w:b/>
          <w:i/>
        </w:rPr>
        <w:t>08</w:t>
      </w:r>
      <w:r w:rsidRPr="002421A8">
        <w:rPr>
          <w:rFonts w:ascii="Verdana" w:hAnsi="Verdana"/>
          <w:b/>
          <w:i/>
        </w:rPr>
        <w:t>/2013</w:t>
      </w:r>
      <w:r>
        <w:rPr>
          <w:rFonts w:ascii="Verdana" w:hAnsi="Verdana"/>
        </w:rPr>
        <w:t>, which speaks to the issues of retirement and severance allowance</w:t>
      </w:r>
    </w:p>
    <w:p w:rsidR="00917836" w:rsidRDefault="00917836" w:rsidP="00917836">
      <w:pPr>
        <w:pStyle w:val="ListParagraph"/>
        <w:rPr>
          <w:rFonts w:ascii="Verdana" w:hAnsi="Verdana"/>
        </w:rPr>
      </w:pPr>
    </w:p>
    <w:p w:rsidR="00917836" w:rsidRDefault="00917836" w:rsidP="009668C5">
      <w:pPr>
        <w:numPr>
          <w:ilvl w:val="2"/>
          <w:numId w:val="2"/>
        </w:numPr>
        <w:tabs>
          <w:tab w:val="clear" w:pos="1080"/>
          <w:tab w:val="num" w:pos="2127"/>
        </w:tabs>
        <w:spacing w:line="360" w:lineRule="auto"/>
        <w:ind w:left="2127" w:hanging="1276"/>
        <w:jc w:val="both"/>
        <w:rPr>
          <w:rFonts w:ascii="Verdana" w:hAnsi="Verdana"/>
        </w:rPr>
      </w:pPr>
      <w:r>
        <w:rPr>
          <w:rFonts w:ascii="Verdana" w:hAnsi="Verdana"/>
        </w:rPr>
        <w:t>In light of that case, the Respondents state that since that judgment by the Industrial Court of Appeal, the CMAC has lost jurisdiction in hearing matters that have to do with retired employees and them getting severance allowance</w:t>
      </w:r>
    </w:p>
    <w:p w:rsidR="003F38A2" w:rsidRDefault="003F38A2" w:rsidP="003F38A2">
      <w:pPr>
        <w:pStyle w:val="ListParagraph"/>
        <w:rPr>
          <w:rFonts w:ascii="Verdana" w:hAnsi="Verdana"/>
        </w:rPr>
      </w:pPr>
    </w:p>
    <w:p w:rsidR="003F38A2" w:rsidRDefault="003F38A2" w:rsidP="009668C5">
      <w:pPr>
        <w:numPr>
          <w:ilvl w:val="2"/>
          <w:numId w:val="2"/>
        </w:numPr>
        <w:tabs>
          <w:tab w:val="clear" w:pos="1080"/>
        </w:tabs>
        <w:spacing w:line="360" w:lineRule="auto"/>
        <w:ind w:left="2127" w:hanging="1276"/>
        <w:jc w:val="both"/>
        <w:rPr>
          <w:rFonts w:ascii="Verdana" w:hAnsi="Verdana"/>
        </w:rPr>
      </w:pPr>
      <w:r>
        <w:rPr>
          <w:rFonts w:ascii="Verdana" w:hAnsi="Verdana"/>
        </w:rPr>
        <w:t>Since this is a dispute about retired employees not getting their severance allowances, the Commission should have rejected the matter and not accepted it at all</w:t>
      </w:r>
      <w:r w:rsidR="00C47A31">
        <w:rPr>
          <w:rFonts w:ascii="Verdana" w:hAnsi="Verdana"/>
        </w:rPr>
        <w:t xml:space="preserve">. </w:t>
      </w:r>
      <w:r w:rsidR="00C10B3D">
        <w:rPr>
          <w:rFonts w:ascii="Verdana" w:hAnsi="Verdana"/>
        </w:rPr>
        <w:t>Since</w:t>
      </w:r>
      <w:r w:rsidR="00C47A31">
        <w:rPr>
          <w:rFonts w:ascii="Verdana" w:hAnsi="Verdana"/>
        </w:rPr>
        <w:t xml:space="preserve"> the Commission is a creature of statute, it cannot go against what has been said by the Industrial Court of Appeal</w:t>
      </w:r>
    </w:p>
    <w:p w:rsidR="002A0492" w:rsidRDefault="002A0492" w:rsidP="002A0492">
      <w:pPr>
        <w:spacing w:line="360" w:lineRule="auto"/>
        <w:ind w:left="1080"/>
        <w:jc w:val="both"/>
        <w:rPr>
          <w:rFonts w:ascii="Verdana" w:hAnsi="Verdana"/>
        </w:rPr>
      </w:pPr>
    </w:p>
    <w:p w:rsidR="00E64C57" w:rsidRDefault="003F38A2" w:rsidP="009668C5">
      <w:pPr>
        <w:numPr>
          <w:ilvl w:val="2"/>
          <w:numId w:val="2"/>
        </w:numPr>
        <w:tabs>
          <w:tab w:val="clear" w:pos="1080"/>
        </w:tabs>
        <w:spacing w:line="360" w:lineRule="auto"/>
        <w:ind w:left="2127" w:hanging="1276"/>
        <w:jc w:val="both"/>
        <w:rPr>
          <w:rFonts w:ascii="Verdana" w:hAnsi="Verdana"/>
        </w:rPr>
      </w:pPr>
      <w:r>
        <w:rPr>
          <w:rFonts w:ascii="Verdana" w:hAnsi="Verdana"/>
        </w:rPr>
        <w:t xml:space="preserve">The Applicant stated that this judgment came out after the employees had retired, therefore it did not affect them. They then pointed me in the direction of the case </w:t>
      </w:r>
      <w:r w:rsidRPr="009668C5">
        <w:rPr>
          <w:rFonts w:ascii="Verdana" w:hAnsi="Verdana"/>
          <w:b/>
        </w:rPr>
        <w:t xml:space="preserve">of Trustees of </w:t>
      </w:r>
      <w:r w:rsidRPr="009668C5">
        <w:rPr>
          <w:rFonts w:ascii="Verdana" w:hAnsi="Verdana"/>
          <w:b/>
          <w:i/>
        </w:rPr>
        <w:t>Swaziland Railway v STAWU ICA Case number 1442/1993</w:t>
      </w:r>
      <w:r>
        <w:rPr>
          <w:rFonts w:ascii="Verdana" w:hAnsi="Verdana"/>
        </w:rPr>
        <w:t xml:space="preserve"> and the case of </w:t>
      </w:r>
      <w:r w:rsidRPr="009668C5">
        <w:rPr>
          <w:rFonts w:ascii="Verdana" w:hAnsi="Verdana"/>
          <w:b/>
          <w:i/>
        </w:rPr>
        <w:t>Khombisile Makhubu v Baylor College of Medicine IC Case number 89/2010</w:t>
      </w:r>
      <w:r>
        <w:rPr>
          <w:rFonts w:ascii="Verdana" w:hAnsi="Verdana"/>
        </w:rPr>
        <w:t>, which they stated talks to their issue of retirement and severance allowance</w:t>
      </w:r>
    </w:p>
    <w:p w:rsidR="002A0492" w:rsidRDefault="002A0492" w:rsidP="002A0492">
      <w:pPr>
        <w:pStyle w:val="ListParagraph"/>
        <w:rPr>
          <w:rFonts w:ascii="Verdana" w:hAnsi="Verdana"/>
        </w:rPr>
      </w:pPr>
    </w:p>
    <w:p w:rsidR="00E64C57" w:rsidRPr="00AE09C2" w:rsidRDefault="00E64C57" w:rsidP="00E64C57">
      <w:pPr>
        <w:pStyle w:val="ListParagraph"/>
        <w:numPr>
          <w:ilvl w:val="0"/>
          <w:numId w:val="1"/>
        </w:numPr>
        <w:spacing w:line="360" w:lineRule="auto"/>
        <w:jc w:val="both"/>
        <w:rPr>
          <w:rFonts w:ascii="Verdana" w:hAnsi="Verdana"/>
        </w:rPr>
      </w:pPr>
      <w:r>
        <w:rPr>
          <w:rFonts w:ascii="Verdana" w:hAnsi="Verdana"/>
        </w:rPr>
        <w:t>It is incumbent upon me at this point to p</w:t>
      </w:r>
      <w:r w:rsidR="00733244">
        <w:rPr>
          <w:rFonts w:ascii="Verdana" w:hAnsi="Verdana"/>
        </w:rPr>
        <w:t>o</w:t>
      </w:r>
      <w:r>
        <w:rPr>
          <w:rFonts w:ascii="Verdana" w:hAnsi="Verdana"/>
        </w:rPr>
        <w:t xml:space="preserve">int out that after hearing the submissions of both parties in the matter, I </w:t>
      </w:r>
      <w:r w:rsidR="00733244">
        <w:rPr>
          <w:rFonts w:ascii="Verdana" w:hAnsi="Verdana"/>
        </w:rPr>
        <w:t>reserved my ruling and postponed the matter to give out</w:t>
      </w:r>
      <w:r w:rsidR="00CA5E07">
        <w:rPr>
          <w:rFonts w:ascii="Verdana" w:hAnsi="Verdana"/>
        </w:rPr>
        <w:t xml:space="preserve"> a written ruling </w:t>
      </w:r>
      <w:r w:rsidR="001120B4">
        <w:rPr>
          <w:rFonts w:ascii="Verdana" w:hAnsi="Verdana"/>
        </w:rPr>
        <w:t>o</w:t>
      </w:r>
      <w:r w:rsidR="00CA5E07">
        <w:rPr>
          <w:rFonts w:ascii="Verdana" w:hAnsi="Verdana"/>
        </w:rPr>
        <w:t>n the points in limine.</w:t>
      </w:r>
    </w:p>
    <w:p w:rsidR="00E64C57" w:rsidRDefault="00E64C57" w:rsidP="00E64C57">
      <w:pPr>
        <w:spacing w:line="360" w:lineRule="auto"/>
        <w:jc w:val="both"/>
        <w:rPr>
          <w:rFonts w:ascii="Verdana" w:hAnsi="Verdana"/>
        </w:rPr>
      </w:pPr>
    </w:p>
    <w:p w:rsidR="00CA5E07" w:rsidRPr="003B6506" w:rsidRDefault="00CA5E07" w:rsidP="00CA5E07">
      <w:pPr>
        <w:spacing w:line="360" w:lineRule="auto"/>
        <w:jc w:val="both"/>
        <w:rPr>
          <w:rFonts w:ascii="Verdana" w:hAnsi="Verdana"/>
          <w:b/>
          <w:u w:val="single"/>
        </w:rPr>
      </w:pPr>
      <w:r w:rsidRPr="003B6506">
        <w:rPr>
          <w:rFonts w:ascii="Verdana" w:hAnsi="Verdana"/>
          <w:b/>
          <w:u w:val="single"/>
        </w:rPr>
        <w:t xml:space="preserve">LEGAL ANALYSIS OF </w:t>
      </w:r>
      <w:r>
        <w:rPr>
          <w:rFonts w:ascii="Verdana" w:hAnsi="Verdana"/>
          <w:b/>
          <w:u w:val="single"/>
        </w:rPr>
        <w:t xml:space="preserve">RESPONDENT’S </w:t>
      </w:r>
      <w:r w:rsidRPr="003B6506">
        <w:rPr>
          <w:rFonts w:ascii="Verdana" w:hAnsi="Verdana"/>
          <w:b/>
          <w:u w:val="single"/>
        </w:rPr>
        <w:t xml:space="preserve">POINTS </w:t>
      </w:r>
      <w:r w:rsidR="001120B4">
        <w:rPr>
          <w:rFonts w:ascii="Verdana" w:hAnsi="Verdana"/>
          <w:b/>
          <w:u w:val="single"/>
        </w:rPr>
        <w:t>IN LIMINE</w:t>
      </w:r>
    </w:p>
    <w:p w:rsidR="00E64C57" w:rsidRDefault="00E64C57" w:rsidP="00E64C57">
      <w:pPr>
        <w:spacing w:line="360" w:lineRule="auto"/>
        <w:jc w:val="both"/>
        <w:rPr>
          <w:rFonts w:ascii="Verdana" w:hAnsi="Verdana"/>
        </w:rPr>
      </w:pPr>
    </w:p>
    <w:p w:rsidR="00E64C57" w:rsidRPr="00CA5E07" w:rsidRDefault="00DE2933" w:rsidP="00E64C57">
      <w:pPr>
        <w:numPr>
          <w:ilvl w:val="0"/>
          <w:numId w:val="1"/>
        </w:numPr>
        <w:spacing w:line="360" w:lineRule="auto"/>
        <w:jc w:val="both"/>
        <w:rPr>
          <w:rFonts w:ascii="Verdana" w:hAnsi="Verdana"/>
          <w:caps/>
          <w:szCs w:val="28"/>
        </w:rPr>
      </w:pPr>
      <w:r>
        <w:rPr>
          <w:rFonts w:ascii="Verdana" w:hAnsi="Verdana"/>
          <w:caps/>
          <w:szCs w:val="28"/>
        </w:rPr>
        <w:t>s</w:t>
      </w:r>
      <w:r>
        <w:rPr>
          <w:rFonts w:ascii="Verdana" w:hAnsi="Verdana"/>
          <w:szCs w:val="28"/>
        </w:rPr>
        <w:t>ection</w:t>
      </w:r>
      <w:r>
        <w:rPr>
          <w:rFonts w:ascii="Verdana" w:hAnsi="Verdana"/>
          <w:caps/>
          <w:szCs w:val="28"/>
        </w:rPr>
        <w:t xml:space="preserve"> 76 (1) </w:t>
      </w:r>
      <w:r>
        <w:rPr>
          <w:rFonts w:ascii="Verdana" w:hAnsi="Verdana"/>
          <w:szCs w:val="28"/>
        </w:rPr>
        <w:t>(c) of the Industrial Relations Act</w:t>
      </w:r>
      <w:r w:rsidR="005B2178">
        <w:rPr>
          <w:rFonts w:ascii="Verdana" w:hAnsi="Verdana"/>
          <w:szCs w:val="28"/>
        </w:rPr>
        <w:t xml:space="preserve"> No. 5 of</w:t>
      </w:r>
      <w:r>
        <w:rPr>
          <w:rFonts w:ascii="Verdana" w:hAnsi="Verdana"/>
          <w:szCs w:val="28"/>
        </w:rPr>
        <w:t xml:space="preserve"> 2000 as amended, specifies who can report a dispute to CMAC and will serve to assist in determining whether the Union has the right to report the dispute on behalf of its members</w:t>
      </w:r>
      <w:r w:rsidR="0013402B">
        <w:rPr>
          <w:rFonts w:ascii="Verdana" w:hAnsi="Verdana"/>
          <w:szCs w:val="28"/>
        </w:rPr>
        <w:t>. It reads;</w:t>
      </w:r>
    </w:p>
    <w:p w:rsidR="00E64C57" w:rsidRPr="00CA5E07" w:rsidRDefault="00E64C57" w:rsidP="00E64C57">
      <w:pPr>
        <w:spacing w:line="360" w:lineRule="auto"/>
        <w:jc w:val="both"/>
        <w:rPr>
          <w:rFonts w:ascii="Verdana" w:hAnsi="Verdana"/>
          <w:b/>
          <w:caps/>
          <w:u w:val="single"/>
        </w:rPr>
      </w:pPr>
    </w:p>
    <w:p w:rsidR="00E64C57" w:rsidRPr="003E5249" w:rsidRDefault="003E5249" w:rsidP="003E5249">
      <w:pPr>
        <w:spacing w:line="360" w:lineRule="auto"/>
        <w:ind w:left="720"/>
        <w:jc w:val="both"/>
        <w:rPr>
          <w:rFonts w:ascii="Verdana" w:hAnsi="Verdana"/>
          <w:i/>
        </w:rPr>
      </w:pPr>
      <w:r w:rsidRPr="003E5249">
        <w:rPr>
          <w:rFonts w:ascii="Verdana" w:hAnsi="Verdana"/>
          <w:i/>
        </w:rPr>
        <w:t xml:space="preserve"> “</w:t>
      </w:r>
      <w:r w:rsidR="00DE2933">
        <w:rPr>
          <w:rFonts w:ascii="Verdana" w:hAnsi="Verdana"/>
          <w:i/>
        </w:rPr>
        <w:t>… a dispute may only be reported … by an organization which has been recognized in accordance with Section 42</w:t>
      </w:r>
    </w:p>
    <w:p w:rsidR="00E64C57" w:rsidRDefault="00E64C57" w:rsidP="00E64C57">
      <w:pPr>
        <w:spacing w:line="360" w:lineRule="auto"/>
        <w:jc w:val="both"/>
        <w:rPr>
          <w:rFonts w:ascii="Verdana" w:hAnsi="Verdana"/>
        </w:rPr>
      </w:pPr>
    </w:p>
    <w:p w:rsidR="00E64C57" w:rsidRDefault="00902C96" w:rsidP="00CA5E07">
      <w:pPr>
        <w:numPr>
          <w:ilvl w:val="1"/>
          <w:numId w:val="3"/>
        </w:numPr>
        <w:spacing w:line="360" w:lineRule="auto"/>
        <w:jc w:val="both"/>
        <w:rPr>
          <w:rFonts w:ascii="Verdana" w:hAnsi="Verdana"/>
        </w:rPr>
      </w:pPr>
      <w:r>
        <w:rPr>
          <w:rFonts w:ascii="Verdana" w:hAnsi="Verdana"/>
        </w:rPr>
        <w:t xml:space="preserve">The provision shows that </w:t>
      </w:r>
      <w:r w:rsidR="00DE2933">
        <w:rPr>
          <w:rFonts w:ascii="Verdana" w:hAnsi="Verdana"/>
        </w:rPr>
        <w:t xml:space="preserve">a Union such as this one, which has been recognized by the employer, can well report a dispute to CMAC on behalf of its members. </w:t>
      </w:r>
    </w:p>
    <w:p w:rsidR="00902C96" w:rsidRDefault="00902C96" w:rsidP="00902C96">
      <w:pPr>
        <w:pStyle w:val="ListParagraph"/>
        <w:rPr>
          <w:rFonts w:ascii="Verdana" w:hAnsi="Verdana"/>
        </w:rPr>
      </w:pPr>
    </w:p>
    <w:p w:rsidR="00902C96" w:rsidRDefault="005B2178" w:rsidP="00CA5E07">
      <w:pPr>
        <w:numPr>
          <w:ilvl w:val="1"/>
          <w:numId w:val="3"/>
        </w:numPr>
        <w:spacing w:line="360" w:lineRule="auto"/>
        <w:jc w:val="both"/>
        <w:rPr>
          <w:rFonts w:ascii="Verdana" w:hAnsi="Verdana"/>
        </w:rPr>
      </w:pPr>
      <w:r>
        <w:rPr>
          <w:rFonts w:ascii="Verdana" w:hAnsi="Verdana"/>
        </w:rPr>
        <w:t xml:space="preserve">The fact that the retired employees had disowned the Union in the letter dated 17 December 2013 does not mean that they have no right to right their wrong and go back to the Union to have </w:t>
      </w:r>
      <w:r w:rsidR="0013402B">
        <w:rPr>
          <w:rFonts w:ascii="Verdana" w:hAnsi="Verdana"/>
        </w:rPr>
        <w:t>it</w:t>
      </w:r>
      <w:r>
        <w:rPr>
          <w:rFonts w:ascii="Verdana" w:hAnsi="Verdana"/>
        </w:rPr>
        <w:t xml:space="preserve"> assist them</w:t>
      </w:r>
      <w:r w:rsidR="0013402B">
        <w:rPr>
          <w:rFonts w:ascii="Verdana" w:hAnsi="Verdana"/>
        </w:rPr>
        <w:t xml:space="preserve">. A fortiori, Section 11 </w:t>
      </w:r>
      <w:r w:rsidR="00C10B3D">
        <w:rPr>
          <w:rFonts w:ascii="Verdana" w:hAnsi="Verdana"/>
        </w:rPr>
        <w:t xml:space="preserve">(1) </w:t>
      </w:r>
      <w:r w:rsidR="0013402B">
        <w:rPr>
          <w:rFonts w:ascii="Verdana" w:hAnsi="Verdana"/>
        </w:rPr>
        <w:t>of the Industrial Relations Act allows the Industrial Court and by extension the CMAC not to be strictly bound by rules of evidence or technicalities which may not result in the miscarriage of justice. Allowing the Union to represent the employees despite their prior refusal will not result in a miscarriage of justice, but denying them same, may result in such miscarriage.</w:t>
      </w:r>
    </w:p>
    <w:p w:rsidR="005B2178" w:rsidRDefault="005B2178" w:rsidP="005B2178">
      <w:pPr>
        <w:pStyle w:val="ListParagraph"/>
        <w:rPr>
          <w:rFonts w:ascii="Verdana" w:hAnsi="Verdana"/>
        </w:rPr>
      </w:pPr>
    </w:p>
    <w:p w:rsidR="005B2178" w:rsidRDefault="005B2178" w:rsidP="00CA5E07">
      <w:pPr>
        <w:numPr>
          <w:ilvl w:val="1"/>
          <w:numId w:val="3"/>
        </w:numPr>
        <w:spacing w:line="360" w:lineRule="auto"/>
        <w:jc w:val="both"/>
        <w:rPr>
          <w:rFonts w:ascii="Verdana" w:hAnsi="Verdana"/>
        </w:rPr>
      </w:pPr>
      <w:r>
        <w:rPr>
          <w:rFonts w:ascii="Verdana" w:hAnsi="Verdana"/>
        </w:rPr>
        <w:t xml:space="preserve">Section 30 (1) of the Industrial Relations Act, 2000 also states that </w:t>
      </w:r>
      <w:r w:rsidRPr="001C6B1B">
        <w:rPr>
          <w:rFonts w:ascii="Verdana" w:hAnsi="Verdana"/>
          <w:i/>
        </w:rPr>
        <w:t>“A person eligible for membership in an organization … has a right to membership in that organization … as long as the person complies with the rules of the organization</w:t>
      </w:r>
      <w:r w:rsidR="001C6B1B">
        <w:rPr>
          <w:rFonts w:ascii="Verdana" w:hAnsi="Verdana"/>
          <w:i/>
        </w:rPr>
        <w:t>”</w:t>
      </w:r>
    </w:p>
    <w:p w:rsidR="005B2178" w:rsidRDefault="005B2178" w:rsidP="005B2178">
      <w:pPr>
        <w:pStyle w:val="ListParagraph"/>
        <w:rPr>
          <w:rFonts w:ascii="Verdana" w:hAnsi="Verdana"/>
        </w:rPr>
      </w:pPr>
    </w:p>
    <w:p w:rsidR="005B2178" w:rsidRPr="001C6B1B" w:rsidRDefault="005B2178" w:rsidP="00CA5E07">
      <w:pPr>
        <w:numPr>
          <w:ilvl w:val="1"/>
          <w:numId w:val="3"/>
        </w:numPr>
        <w:spacing w:line="360" w:lineRule="auto"/>
        <w:jc w:val="both"/>
        <w:rPr>
          <w:rFonts w:ascii="Verdana" w:hAnsi="Verdana"/>
          <w:i/>
        </w:rPr>
      </w:pPr>
      <w:r>
        <w:rPr>
          <w:rFonts w:ascii="Verdana" w:hAnsi="Verdana"/>
        </w:rPr>
        <w:t xml:space="preserve">Section 30 (3) of the same Act goes on to provide that </w:t>
      </w:r>
      <w:r w:rsidRPr="001C6B1B">
        <w:rPr>
          <w:rFonts w:ascii="Verdana" w:hAnsi="Verdana"/>
          <w:i/>
        </w:rPr>
        <w:t>“</w:t>
      </w:r>
      <w:r w:rsidR="001C6B1B" w:rsidRPr="001C6B1B">
        <w:rPr>
          <w:rFonts w:ascii="Verdana" w:hAnsi="Verdana"/>
          <w:i/>
        </w:rPr>
        <w:t>An employer shall not infringe on an employe</w:t>
      </w:r>
      <w:r w:rsidR="009A2BE4">
        <w:rPr>
          <w:rFonts w:ascii="Verdana" w:hAnsi="Verdana"/>
          <w:i/>
        </w:rPr>
        <w:t>e</w:t>
      </w:r>
      <w:r w:rsidR="001C6B1B" w:rsidRPr="001C6B1B">
        <w:rPr>
          <w:rFonts w:ascii="Verdana" w:hAnsi="Verdana"/>
          <w:i/>
        </w:rPr>
        <w:t>’s right to belong or not to belong to an organization of the employee’s choice”</w:t>
      </w:r>
    </w:p>
    <w:p w:rsidR="001C6B1B" w:rsidRDefault="001C6B1B" w:rsidP="001C6B1B">
      <w:pPr>
        <w:pStyle w:val="ListParagraph"/>
        <w:rPr>
          <w:rFonts w:ascii="Verdana" w:hAnsi="Verdana"/>
        </w:rPr>
      </w:pPr>
    </w:p>
    <w:p w:rsidR="001C6B1B" w:rsidRDefault="001C6B1B" w:rsidP="00CA5E07">
      <w:pPr>
        <w:numPr>
          <w:ilvl w:val="1"/>
          <w:numId w:val="3"/>
        </w:numPr>
        <w:spacing w:line="360" w:lineRule="auto"/>
        <w:jc w:val="both"/>
        <w:rPr>
          <w:rFonts w:ascii="Verdana" w:hAnsi="Verdana"/>
        </w:rPr>
      </w:pPr>
      <w:r>
        <w:rPr>
          <w:rFonts w:ascii="Verdana" w:hAnsi="Verdana"/>
        </w:rPr>
        <w:t xml:space="preserve">Section 30 (1) and (3) go hand in hand with Section 76(1) (c) of the Act. The employee has the right to be a member of a Union if he so qualifies, the employer has no right to infringe on the employee’s right to be a member of the Union and after choosing to be </w:t>
      </w:r>
      <w:r w:rsidR="00BF7782">
        <w:rPr>
          <w:rFonts w:ascii="Verdana" w:hAnsi="Verdana"/>
        </w:rPr>
        <w:t>a</w:t>
      </w:r>
      <w:r>
        <w:rPr>
          <w:rFonts w:ascii="Verdana" w:hAnsi="Verdana"/>
        </w:rPr>
        <w:t xml:space="preserve"> member of that Union, the Union can then report a dispute on behalf of the employee.</w:t>
      </w:r>
    </w:p>
    <w:p w:rsidR="00902C96" w:rsidRDefault="00902C96" w:rsidP="00902C96">
      <w:pPr>
        <w:pStyle w:val="ListParagraph"/>
        <w:rPr>
          <w:rFonts w:ascii="Verdana" w:hAnsi="Verdana"/>
        </w:rPr>
      </w:pPr>
    </w:p>
    <w:p w:rsidR="005B2178" w:rsidRDefault="00902C96" w:rsidP="005B2178">
      <w:pPr>
        <w:numPr>
          <w:ilvl w:val="1"/>
          <w:numId w:val="3"/>
        </w:numPr>
        <w:spacing w:line="360" w:lineRule="auto"/>
        <w:jc w:val="both"/>
        <w:rPr>
          <w:rFonts w:ascii="Verdana" w:hAnsi="Verdana"/>
        </w:rPr>
      </w:pPr>
      <w:r w:rsidRPr="005B2178">
        <w:rPr>
          <w:rFonts w:ascii="Verdana" w:hAnsi="Verdana"/>
        </w:rPr>
        <w:t>T</w:t>
      </w:r>
      <w:r w:rsidR="00232CB4">
        <w:rPr>
          <w:rFonts w:ascii="Verdana" w:hAnsi="Verdana"/>
        </w:rPr>
        <w:t>o</w:t>
      </w:r>
      <w:r w:rsidRPr="005B2178">
        <w:rPr>
          <w:rFonts w:ascii="Verdana" w:hAnsi="Verdana"/>
        </w:rPr>
        <w:t xml:space="preserve"> </w:t>
      </w:r>
      <w:r w:rsidR="005B2178" w:rsidRPr="005B2178">
        <w:rPr>
          <w:rFonts w:ascii="Verdana" w:hAnsi="Verdana"/>
        </w:rPr>
        <w:t xml:space="preserve">hold a contrary view, would be contrary to the spirit of reconciliation that the </w:t>
      </w:r>
      <w:r w:rsidR="005B2178" w:rsidRPr="005B2178">
        <w:rPr>
          <w:rFonts w:ascii="Verdana" w:hAnsi="Verdana"/>
          <w:b/>
        </w:rPr>
        <w:t>Industrial Relations Act No. 5 of 2000 (as amended),</w:t>
      </w:r>
      <w:r w:rsidR="005B2178" w:rsidRPr="005B2178">
        <w:rPr>
          <w:rFonts w:ascii="Verdana" w:hAnsi="Verdana"/>
        </w:rPr>
        <w:t xml:space="preserve"> seeks to promote. This legislation generally proscribes parties from going on to adjudication without having gone through reconciliatory processes which include conciliation. It seeks to encourage parties to try and informally resolve their differences before going on to adjudication.  Therefore, where a party will seek to obtain benefit by insisting on the fault of the other party and ignore the other party’s attempts to correct the fault and resuscitate the relationship, such conduct shall be frowned upon.</w:t>
      </w:r>
    </w:p>
    <w:p w:rsidR="00232CB4" w:rsidRDefault="00232CB4" w:rsidP="00232CB4">
      <w:pPr>
        <w:pStyle w:val="ListParagraph"/>
        <w:rPr>
          <w:rFonts w:ascii="Verdana" w:hAnsi="Verdana"/>
        </w:rPr>
      </w:pPr>
    </w:p>
    <w:p w:rsidR="00232CB4" w:rsidRPr="005B2178" w:rsidRDefault="00232CB4" w:rsidP="005B2178">
      <w:pPr>
        <w:numPr>
          <w:ilvl w:val="1"/>
          <w:numId w:val="3"/>
        </w:numPr>
        <w:spacing w:line="360" w:lineRule="auto"/>
        <w:jc w:val="both"/>
        <w:rPr>
          <w:rFonts w:ascii="Verdana" w:hAnsi="Verdana"/>
        </w:rPr>
      </w:pPr>
      <w:r>
        <w:rPr>
          <w:rFonts w:ascii="Verdana" w:hAnsi="Verdana"/>
        </w:rPr>
        <w:t>Denying erstwhile employees representation by their Union, on issues material to the termination of their employment (which termination has resulted in them not being an active member of the union</w:t>
      </w:r>
      <w:r w:rsidR="00352E3E">
        <w:rPr>
          <w:rFonts w:ascii="Verdana" w:hAnsi="Verdana"/>
        </w:rPr>
        <w:t>), such as dismissal or retirement could be a miscarriage of justice.</w:t>
      </w:r>
    </w:p>
    <w:p w:rsidR="00BC3D57" w:rsidRPr="005B2178" w:rsidRDefault="00BC3D57" w:rsidP="005B2178">
      <w:pPr>
        <w:spacing w:line="360" w:lineRule="auto"/>
        <w:ind w:left="720"/>
        <w:jc w:val="both"/>
        <w:rPr>
          <w:rFonts w:ascii="Verdana" w:hAnsi="Verdana"/>
        </w:rPr>
      </w:pPr>
    </w:p>
    <w:p w:rsidR="00BC3D57" w:rsidRDefault="00BC3D57" w:rsidP="00CA5E07">
      <w:pPr>
        <w:numPr>
          <w:ilvl w:val="1"/>
          <w:numId w:val="3"/>
        </w:numPr>
        <w:spacing w:line="360" w:lineRule="auto"/>
        <w:jc w:val="both"/>
        <w:rPr>
          <w:rFonts w:ascii="Verdana" w:hAnsi="Verdana"/>
        </w:rPr>
      </w:pPr>
      <w:r>
        <w:rPr>
          <w:rFonts w:ascii="Verdana" w:hAnsi="Verdana"/>
        </w:rPr>
        <w:t xml:space="preserve">The </w:t>
      </w:r>
      <w:r w:rsidR="001C6B1B">
        <w:rPr>
          <w:rFonts w:ascii="Verdana" w:hAnsi="Verdana"/>
        </w:rPr>
        <w:t>starting point on the Point of jurisdiction may be a brief description of CMAC and its purpose. The Commission is a creature of statute, as it was established by Section 62 of the Industrial Relations Act No. 5 of 2000 (as amended). The Act was enacted to consolidate</w:t>
      </w:r>
      <w:r w:rsidR="00F822AF">
        <w:rPr>
          <w:rFonts w:ascii="Verdana" w:hAnsi="Verdana"/>
        </w:rPr>
        <w:t xml:space="preserve"> the law in relation to employment, which means CMAC was established to further the purpose of the Act. The CMAC was established as an Alternative Dispute Resolution Mechanism, for the resolution of conflicts in Swaziland’s labour relations</w:t>
      </w:r>
    </w:p>
    <w:p w:rsidR="00BC3D57" w:rsidRDefault="00BC3D57" w:rsidP="00BC3D57">
      <w:pPr>
        <w:pStyle w:val="ListParagraph"/>
        <w:rPr>
          <w:rFonts w:ascii="Verdana" w:hAnsi="Verdana"/>
        </w:rPr>
      </w:pPr>
    </w:p>
    <w:p w:rsidR="00BC3D57" w:rsidRDefault="00F822AF" w:rsidP="00CA5E07">
      <w:pPr>
        <w:numPr>
          <w:ilvl w:val="1"/>
          <w:numId w:val="3"/>
        </w:numPr>
        <w:spacing w:line="360" w:lineRule="auto"/>
        <w:jc w:val="both"/>
        <w:rPr>
          <w:rFonts w:ascii="Verdana" w:hAnsi="Verdana"/>
        </w:rPr>
      </w:pPr>
      <w:r>
        <w:rPr>
          <w:rFonts w:ascii="Verdana" w:hAnsi="Verdana"/>
        </w:rPr>
        <w:t>The matter reported by the Union to CMAC is a matter relating to labour relations and we have since established that it has been brought by the correct party. What is left is to consider whether the Commission has the jurisdiction to hear the matter</w:t>
      </w:r>
      <w:r w:rsidR="006146FF">
        <w:rPr>
          <w:rFonts w:ascii="Verdana" w:hAnsi="Verdana"/>
        </w:rPr>
        <w:t xml:space="preserve"> or not. </w:t>
      </w:r>
    </w:p>
    <w:p w:rsidR="00BC3D57" w:rsidRDefault="00BC3D57" w:rsidP="00BC3D57">
      <w:pPr>
        <w:pStyle w:val="ListParagraph"/>
        <w:rPr>
          <w:rFonts w:ascii="Verdana" w:hAnsi="Verdana"/>
        </w:rPr>
      </w:pPr>
    </w:p>
    <w:p w:rsidR="00BC3D57" w:rsidRDefault="00F822AF" w:rsidP="00CA5E07">
      <w:pPr>
        <w:numPr>
          <w:ilvl w:val="1"/>
          <w:numId w:val="3"/>
        </w:numPr>
        <w:spacing w:line="360" w:lineRule="auto"/>
        <w:jc w:val="both"/>
        <w:rPr>
          <w:rFonts w:ascii="Verdana" w:hAnsi="Verdana"/>
        </w:rPr>
      </w:pPr>
      <w:r>
        <w:rPr>
          <w:rFonts w:ascii="Verdana" w:hAnsi="Verdana"/>
        </w:rPr>
        <w:t>A judgment was made in the Thring Case by the Industrial Court of Appeal with regard to severance allowance and whether it is payable to employees that have retired</w:t>
      </w:r>
    </w:p>
    <w:p w:rsidR="00B06DDD" w:rsidRDefault="00B06DDD" w:rsidP="00B06DDD">
      <w:pPr>
        <w:pStyle w:val="ListParagraph"/>
        <w:rPr>
          <w:rFonts w:ascii="Verdana" w:hAnsi="Verdana"/>
        </w:rPr>
      </w:pPr>
    </w:p>
    <w:p w:rsidR="00B06DDD" w:rsidRDefault="00B06DDD" w:rsidP="00CA5E07">
      <w:pPr>
        <w:numPr>
          <w:ilvl w:val="1"/>
          <w:numId w:val="3"/>
        </w:numPr>
        <w:spacing w:line="360" w:lineRule="auto"/>
        <w:jc w:val="both"/>
        <w:rPr>
          <w:rFonts w:ascii="Verdana" w:hAnsi="Verdana"/>
        </w:rPr>
      </w:pPr>
      <w:r>
        <w:rPr>
          <w:rFonts w:ascii="Verdana" w:hAnsi="Verdana"/>
        </w:rPr>
        <w:t>CMAC can conciliate on disputes falling within the purview of the Commission, i.e. disputes between employer and employee</w:t>
      </w:r>
    </w:p>
    <w:p w:rsidR="00BC3D57" w:rsidRDefault="00BC3D57" w:rsidP="00BC3D57">
      <w:pPr>
        <w:pStyle w:val="ListParagraph"/>
        <w:rPr>
          <w:rFonts w:ascii="Verdana" w:hAnsi="Verdana"/>
        </w:rPr>
      </w:pPr>
    </w:p>
    <w:p w:rsidR="00BC3D57" w:rsidRPr="00352E3E" w:rsidRDefault="00F822AF" w:rsidP="00CA5E07">
      <w:pPr>
        <w:numPr>
          <w:ilvl w:val="1"/>
          <w:numId w:val="3"/>
        </w:numPr>
        <w:spacing w:line="360" w:lineRule="auto"/>
        <w:jc w:val="both"/>
        <w:rPr>
          <w:rFonts w:ascii="Verdana" w:hAnsi="Verdana"/>
          <w:i/>
        </w:rPr>
      </w:pPr>
      <w:r>
        <w:rPr>
          <w:rFonts w:ascii="Verdana" w:hAnsi="Verdana"/>
        </w:rPr>
        <w:t>It must be pointed out that parties report disputes to CMAC and it is not all the time that they may be right concerning the dispute they have brought</w:t>
      </w:r>
      <w:r w:rsidR="00B06DDD">
        <w:rPr>
          <w:rFonts w:ascii="Verdana" w:hAnsi="Verdana"/>
        </w:rPr>
        <w:t>.</w:t>
      </w:r>
      <w:r>
        <w:rPr>
          <w:rFonts w:ascii="Verdana" w:hAnsi="Verdana"/>
        </w:rPr>
        <w:t xml:space="preserve"> </w:t>
      </w:r>
      <w:r w:rsidR="00B06DDD">
        <w:rPr>
          <w:rFonts w:ascii="Verdana" w:hAnsi="Verdana"/>
        </w:rPr>
        <w:t>T</w:t>
      </w:r>
      <w:r>
        <w:rPr>
          <w:rFonts w:ascii="Verdana" w:hAnsi="Verdana"/>
        </w:rPr>
        <w:t>he court might have made a judgment regarding that particular principle</w:t>
      </w:r>
      <w:r w:rsidR="00B06DDD">
        <w:rPr>
          <w:rFonts w:ascii="Verdana" w:hAnsi="Verdana"/>
        </w:rPr>
        <w:t xml:space="preserve"> but it is within the right of the reporting party to have his matter heard as well</w:t>
      </w:r>
      <w:r>
        <w:rPr>
          <w:rFonts w:ascii="Verdana" w:hAnsi="Verdana"/>
        </w:rPr>
        <w:t xml:space="preserve">. </w:t>
      </w:r>
      <w:r w:rsidR="00B06DDD">
        <w:rPr>
          <w:rFonts w:ascii="Verdana" w:hAnsi="Verdana"/>
        </w:rPr>
        <w:t>I</w:t>
      </w:r>
      <w:r>
        <w:rPr>
          <w:rFonts w:ascii="Verdana" w:hAnsi="Verdana"/>
        </w:rPr>
        <w:t xml:space="preserve">t is important to note that each matter must be heard on its own merits and a decision made after looking </w:t>
      </w:r>
      <w:r w:rsidR="0086757C">
        <w:rPr>
          <w:rFonts w:ascii="Verdana" w:hAnsi="Verdana"/>
        </w:rPr>
        <w:t>at</w:t>
      </w:r>
      <w:r>
        <w:rPr>
          <w:rFonts w:ascii="Verdana" w:hAnsi="Verdana"/>
        </w:rPr>
        <w:t xml:space="preserve"> all the circumstances of the case</w:t>
      </w:r>
    </w:p>
    <w:p w:rsidR="00352E3E" w:rsidRDefault="00352E3E" w:rsidP="00352E3E">
      <w:pPr>
        <w:pStyle w:val="ListParagraph"/>
        <w:rPr>
          <w:rFonts w:ascii="Verdana" w:hAnsi="Verdana"/>
          <w:i/>
        </w:rPr>
      </w:pPr>
    </w:p>
    <w:p w:rsidR="00352E3E" w:rsidRPr="00352E3E" w:rsidRDefault="00352E3E" w:rsidP="00CA5E07">
      <w:pPr>
        <w:numPr>
          <w:ilvl w:val="1"/>
          <w:numId w:val="3"/>
        </w:numPr>
        <w:spacing w:line="360" w:lineRule="auto"/>
        <w:jc w:val="both"/>
        <w:rPr>
          <w:rFonts w:ascii="Verdana" w:hAnsi="Verdana"/>
        </w:rPr>
      </w:pPr>
      <w:r w:rsidRPr="00352E3E">
        <w:rPr>
          <w:rFonts w:ascii="Verdana" w:hAnsi="Verdana"/>
        </w:rPr>
        <w:t>To say a person is not entitled to have his dispute conciliated only because there is a judgment that suggests he may have no relief, is contrary to the natural justice principle (</w:t>
      </w:r>
      <w:r w:rsidR="006146FF" w:rsidRPr="006146FF">
        <w:rPr>
          <w:rFonts w:ascii="Verdana" w:hAnsi="Verdana"/>
          <w:i/>
        </w:rPr>
        <w:t>audi alteram partem</w:t>
      </w:r>
      <w:r w:rsidRPr="00352E3E">
        <w:rPr>
          <w:rFonts w:ascii="Verdana" w:hAnsi="Verdana"/>
        </w:rPr>
        <w:t>). Such a person ought to be given the opportunity to be heard on the merits as there may be circumstances which distinguish his matter from that erstwhile decision of the court,</w:t>
      </w:r>
    </w:p>
    <w:p w:rsidR="00F822AF" w:rsidRDefault="00F822AF" w:rsidP="00F822AF">
      <w:pPr>
        <w:pStyle w:val="ListParagraph"/>
        <w:rPr>
          <w:rFonts w:ascii="Verdana" w:hAnsi="Verdana"/>
          <w:i/>
        </w:rPr>
      </w:pPr>
    </w:p>
    <w:p w:rsidR="00F822AF" w:rsidRPr="0086757C" w:rsidRDefault="00F822AF" w:rsidP="00CA5E07">
      <w:pPr>
        <w:numPr>
          <w:ilvl w:val="1"/>
          <w:numId w:val="3"/>
        </w:numPr>
        <w:spacing w:line="360" w:lineRule="auto"/>
        <w:jc w:val="both"/>
        <w:rPr>
          <w:rFonts w:ascii="Verdana" w:hAnsi="Verdana"/>
        </w:rPr>
      </w:pPr>
      <w:r w:rsidRPr="0086757C">
        <w:rPr>
          <w:rFonts w:ascii="Verdana" w:hAnsi="Verdana"/>
        </w:rPr>
        <w:t xml:space="preserve">The </w:t>
      </w:r>
      <w:r w:rsidR="0086757C">
        <w:rPr>
          <w:rFonts w:ascii="Verdana" w:hAnsi="Verdana"/>
        </w:rPr>
        <w:t xml:space="preserve">Applicants indicate that they have a valid defense and will be able to prove that they are entitled to the relief sought. Parties are allowed to have differing views on a dispute brought to CMAC. If they do not agree after conciliation, the matter can then be taken </w:t>
      </w:r>
      <w:r w:rsidR="009A2BE4">
        <w:rPr>
          <w:rFonts w:ascii="Verdana" w:hAnsi="Verdana"/>
        </w:rPr>
        <w:t xml:space="preserve">for </w:t>
      </w:r>
      <w:r w:rsidR="0086757C">
        <w:rPr>
          <w:rFonts w:ascii="Verdana" w:hAnsi="Verdana"/>
        </w:rPr>
        <w:t>further determination of the unresolved dispute</w:t>
      </w:r>
      <w:r w:rsidR="009A2BE4">
        <w:rPr>
          <w:rFonts w:ascii="Verdana" w:hAnsi="Verdana"/>
        </w:rPr>
        <w:t xml:space="preserve"> either at Arbitration or in the Industrial Court</w:t>
      </w:r>
      <w:r w:rsidR="0086757C">
        <w:rPr>
          <w:rFonts w:ascii="Verdana" w:hAnsi="Verdana"/>
        </w:rPr>
        <w:t xml:space="preserve"> </w:t>
      </w:r>
    </w:p>
    <w:p w:rsidR="003E5249" w:rsidRDefault="003E5249" w:rsidP="003E5249">
      <w:pPr>
        <w:pStyle w:val="ListParagraph"/>
        <w:rPr>
          <w:rFonts w:ascii="Verdana" w:hAnsi="Verdana"/>
          <w:i/>
        </w:rPr>
      </w:pPr>
    </w:p>
    <w:p w:rsidR="003E5249" w:rsidRPr="003E5249" w:rsidRDefault="0086757C" w:rsidP="00CA5E07">
      <w:pPr>
        <w:numPr>
          <w:ilvl w:val="1"/>
          <w:numId w:val="3"/>
        </w:numPr>
        <w:spacing w:line="360" w:lineRule="auto"/>
        <w:jc w:val="both"/>
        <w:rPr>
          <w:rFonts w:ascii="Verdana" w:hAnsi="Verdana"/>
          <w:i/>
        </w:rPr>
      </w:pPr>
      <w:r>
        <w:rPr>
          <w:rFonts w:ascii="Verdana" w:hAnsi="Verdana"/>
        </w:rPr>
        <w:t xml:space="preserve">CMAC is </w:t>
      </w:r>
      <w:r w:rsidR="00B06DDD">
        <w:rPr>
          <w:rFonts w:ascii="Verdana" w:hAnsi="Verdana"/>
        </w:rPr>
        <w:t xml:space="preserve">indeed </w:t>
      </w:r>
      <w:r>
        <w:rPr>
          <w:rFonts w:ascii="Verdana" w:hAnsi="Verdana"/>
        </w:rPr>
        <w:t xml:space="preserve">a creature of statute but it is an independent body and it has the right to carry out its mandate of trying to </w:t>
      </w:r>
      <w:r w:rsidR="009A2BE4">
        <w:rPr>
          <w:rFonts w:ascii="Verdana" w:hAnsi="Verdana"/>
        </w:rPr>
        <w:t>bring about industrial harmony and reconciliation between employer and employee or their organizations respectively.</w:t>
      </w:r>
      <w:r w:rsidR="00B06DDD">
        <w:rPr>
          <w:rFonts w:ascii="Verdana" w:hAnsi="Verdana"/>
        </w:rPr>
        <w:t xml:space="preserve"> </w:t>
      </w:r>
    </w:p>
    <w:p w:rsidR="002A0492" w:rsidRDefault="002A0492" w:rsidP="002A0492">
      <w:pPr>
        <w:pStyle w:val="ListParagraph"/>
        <w:rPr>
          <w:rFonts w:ascii="Verdana" w:hAnsi="Verdana"/>
        </w:rPr>
      </w:pPr>
    </w:p>
    <w:p w:rsidR="009733D2" w:rsidRDefault="002A0492" w:rsidP="009733D2">
      <w:pPr>
        <w:numPr>
          <w:ilvl w:val="1"/>
          <w:numId w:val="3"/>
        </w:numPr>
        <w:spacing w:line="360" w:lineRule="auto"/>
        <w:jc w:val="both"/>
        <w:rPr>
          <w:rFonts w:ascii="Verdana" w:hAnsi="Verdana"/>
        </w:rPr>
      </w:pPr>
      <w:r w:rsidRPr="009A2BE4">
        <w:rPr>
          <w:rFonts w:ascii="Verdana" w:hAnsi="Verdana"/>
        </w:rPr>
        <w:t>For the for</w:t>
      </w:r>
      <w:r w:rsidR="009A2BE4" w:rsidRPr="009A2BE4">
        <w:rPr>
          <w:rFonts w:ascii="Verdana" w:hAnsi="Verdana"/>
        </w:rPr>
        <w:t>egoing reasons, the Respondent’s</w:t>
      </w:r>
      <w:r w:rsidRPr="009A2BE4">
        <w:rPr>
          <w:rFonts w:ascii="Verdana" w:hAnsi="Verdana"/>
        </w:rPr>
        <w:t xml:space="preserve"> point in limine should fail. </w:t>
      </w:r>
    </w:p>
    <w:p w:rsidR="009A2BE4" w:rsidRPr="009A2BE4" w:rsidRDefault="009A2BE4" w:rsidP="009A2BE4">
      <w:pPr>
        <w:spacing w:line="360" w:lineRule="auto"/>
        <w:jc w:val="both"/>
        <w:rPr>
          <w:rFonts w:ascii="Verdana" w:hAnsi="Verdana"/>
        </w:rPr>
      </w:pPr>
    </w:p>
    <w:p w:rsidR="00E64C57" w:rsidRDefault="00E64C57" w:rsidP="00E64C57">
      <w:pPr>
        <w:numPr>
          <w:ilvl w:val="0"/>
          <w:numId w:val="3"/>
        </w:numPr>
        <w:spacing w:line="360" w:lineRule="auto"/>
        <w:jc w:val="both"/>
        <w:rPr>
          <w:rFonts w:ascii="Verdana" w:hAnsi="Verdana"/>
        </w:rPr>
      </w:pPr>
      <w:r>
        <w:rPr>
          <w:rFonts w:ascii="Verdana" w:hAnsi="Verdana"/>
        </w:rPr>
        <w:t xml:space="preserve">Following the dismissal of all the points of law raised, the parties are hereby invited to </w:t>
      </w:r>
      <w:r w:rsidRPr="00F43AD7">
        <w:rPr>
          <w:rFonts w:ascii="Verdana" w:hAnsi="Verdana"/>
          <w:i/>
        </w:rPr>
        <w:t>bona fidely</w:t>
      </w:r>
      <w:r>
        <w:rPr>
          <w:rFonts w:ascii="Verdana" w:hAnsi="Verdana"/>
        </w:rPr>
        <w:t xml:space="preserve"> conciliate the matter under the auspices of the Commission. </w:t>
      </w:r>
    </w:p>
    <w:p w:rsidR="002A0492" w:rsidRDefault="002A0492" w:rsidP="002A0492">
      <w:pPr>
        <w:spacing w:line="360" w:lineRule="auto"/>
        <w:ind w:left="390"/>
        <w:jc w:val="both"/>
        <w:rPr>
          <w:rFonts w:ascii="Verdana" w:hAnsi="Verdana"/>
        </w:rPr>
      </w:pPr>
    </w:p>
    <w:p w:rsidR="00E64C57" w:rsidRPr="00BA2F76" w:rsidRDefault="00E64C57" w:rsidP="00E64C57">
      <w:pPr>
        <w:numPr>
          <w:ilvl w:val="0"/>
          <w:numId w:val="3"/>
        </w:numPr>
        <w:spacing w:line="360" w:lineRule="auto"/>
        <w:jc w:val="both"/>
        <w:rPr>
          <w:rFonts w:ascii="Verdana" w:hAnsi="Verdana"/>
        </w:rPr>
      </w:pPr>
      <w:r>
        <w:rPr>
          <w:rFonts w:ascii="Verdana" w:hAnsi="Verdana"/>
        </w:rPr>
        <w:t xml:space="preserve">The conciliation proceedings shall therefore proceed </w:t>
      </w:r>
      <w:r w:rsidR="009E2471">
        <w:rPr>
          <w:rFonts w:ascii="Verdana" w:hAnsi="Verdana"/>
        </w:rPr>
        <w:t xml:space="preserve">on the </w:t>
      </w:r>
      <w:r w:rsidR="00C47A31">
        <w:rPr>
          <w:rFonts w:ascii="Verdana" w:hAnsi="Verdana"/>
        </w:rPr>
        <w:t>9</w:t>
      </w:r>
      <w:r w:rsidR="00C47A31" w:rsidRPr="00C47A31">
        <w:rPr>
          <w:rFonts w:ascii="Verdana" w:hAnsi="Verdana"/>
          <w:vertAlign w:val="superscript"/>
        </w:rPr>
        <w:t>th</w:t>
      </w:r>
      <w:r w:rsidR="009E2471">
        <w:rPr>
          <w:rFonts w:ascii="Verdana" w:hAnsi="Verdana"/>
        </w:rPr>
        <w:t xml:space="preserve"> </w:t>
      </w:r>
      <w:r w:rsidR="00C47A31">
        <w:rPr>
          <w:rFonts w:ascii="Verdana" w:hAnsi="Verdana"/>
        </w:rPr>
        <w:t>September</w:t>
      </w:r>
      <w:r w:rsidR="009E2471">
        <w:rPr>
          <w:rFonts w:ascii="Verdana" w:hAnsi="Verdana"/>
        </w:rPr>
        <w:t xml:space="preserve"> 2014 at 10:00am</w:t>
      </w:r>
    </w:p>
    <w:p w:rsidR="00E64C57" w:rsidRDefault="00E64C57" w:rsidP="00E64C57">
      <w:pPr>
        <w:spacing w:line="360" w:lineRule="auto"/>
        <w:jc w:val="both"/>
        <w:rPr>
          <w:rFonts w:ascii="Verdana" w:hAnsi="Verdana"/>
        </w:rPr>
      </w:pPr>
    </w:p>
    <w:p w:rsidR="00E64C57" w:rsidRDefault="002A0492" w:rsidP="00E64C57">
      <w:pPr>
        <w:spacing w:line="360" w:lineRule="auto"/>
        <w:jc w:val="both"/>
        <w:rPr>
          <w:rFonts w:ascii="Verdana" w:hAnsi="Verdana"/>
          <w:b/>
          <w:bCs/>
          <w:sz w:val="28"/>
          <w:szCs w:val="28"/>
        </w:rPr>
      </w:pPr>
      <w:r>
        <w:rPr>
          <w:rFonts w:ascii="Verdana" w:hAnsi="Verdana"/>
          <w:b/>
          <w:bCs/>
          <w:sz w:val="28"/>
          <w:szCs w:val="28"/>
        </w:rPr>
        <w:t>DATED AT</w:t>
      </w:r>
      <w:r w:rsidR="00E64C57">
        <w:rPr>
          <w:rFonts w:ascii="Verdana" w:hAnsi="Verdana"/>
          <w:b/>
          <w:bCs/>
          <w:sz w:val="28"/>
          <w:szCs w:val="28"/>
        </w:rPr>
        <w:t xml:space="preserve"> MBABANE ON THIS </w:t>
      </w:r>
      <w:r w:rsidR="00C10B3D">
        <w:rPr>
          <w:rFonts w:ascii="Verdana" w:hAnsi="Verdana"/>
          <w:b/>
          <w:bCs/>
          <w:sz w:val="28"/>
          <w:szCs w:val="28"/>
        </w:rPr>
        <w:t>8</w:t>
      </w:r>
      <w:r w:rsidR="006146FF" w:rsidRPr="006146FF">
        <w:rPr>
          <w:rFonts w:ascii="Verdana" w:hAnsi="Verdana"/>
          <w:b/>
          <w:bCs/>
          <w:sz w:val="28"/>
          <w:szCs w:val="28"/>
          <w:vertAlign w:val="superscript"/>
        </w:rPr>
        <w:t>TH</w:t>
      </w:r>
      <w:r w:rsidR="006146FF">
        <w:rPr>
          <w:rFonts w:ascii="Verdana" w:hAnsi="Verdana"/>
          <w:b/>
          <w:bCs/>
          <w:sz w:val="28"/>
          <w:szCs w:val="28"/>
        </w:rPr>
        <w:t xml:space="preserve"> </w:t>
      </w:r>
      <w:r w:rsidR="00E64C57">
        <w:rPr>
          <w:rFonts w:ascii="Verdana" w:hAnsi="Verdana"/>
          <w:b/>
          <w:bCs/>
          <w:sz w:val="28"/>
          <w:szCs w:val="28"/>
        </w:rPr>
        <w:t xml:space="preserve">DAY OF </w:t>
      </w:r>
      <w:r w:rsidR="00C47A31">
        <w:rPr>
          <w:rFonts w:ascii="Verdana" w:hAnsi="Verdana"/>
          <w:b/>
          <w:bCs/>
          <w:caps/>
          <w:sz w:val="28"/>
          <w:szCs w:val="28"/>
        </w:rPr>
        <w:t>SEPTEMBER</w:t>
      </w:r>
      <w:r w:rsidR="00E64C57">
        <w:rPr>
          <w:rFonts w:ascii="Verdana" w:hAnsi="Verdana"/>
          <w:b/>
          <w:bCs/>
          <w:sz w:val="28"/>
          <w:szCs w:val="28"/>
        </w:rPr>
        <w:t xml:space="preserve"> 201</w:t>
      </w:r>
      <w:r>
        <w:rPr>
          <w:rFonts w:ascii="Verdana" w:hAnsi="Verdana"/>
          <w:b/>
          <w:bCs/>
          <w:sz w:val="28"/>
          <w:szCs w:val="28"/>
        </w:rPr>
        <w:t>4</w:t>
      </w:r>
      <w:r w:rsidR="00E64C57">
        <w:rPr>
          <w:rFonts w:ascii="Verdana" w:hAnsi="Verdana"/>
          <w:b/>
          <w:bCs/>
          <w:sz w:val="28"/>
          <w:szCs w:val="28"/>
        </w:rPr>
        <w:t>.</w:t>
      </w:r>
    </w:p>
    <w:p w:rsidR="00E64C57" w:rsidRDefault="00E64C57" w:rsidP="00E64C57">
      <w:pPr>
        <w:spacing w:line="360" w:lineRule="auto"/>
        <w:ind w:firstLine="360"/>
        <w:jc w:val="both"/>
        <w:rPr>
          <w:rFonts w:ascii="Verdana" w:hAnsi="Verdana"/>
          <w:b/>
          <w:bCs/>
          <w:sz w:val="16"/>
          <w:szCs w:val="16"/>
        </w:rPr>
      </w:pPr>
    </w:p>
    <w:p w:rsidR="00E64C57" w:rsidRDefault="00E64C57" w:rsidP="00E64C57">
      <w:pPr>
        <w:spacing w:line="360" w:lineRule="auto"/>
        <w:jc w:val="both"/>
        <w:rPr>
          <w:rFonts w:ascii="Verdana" w:hAnsi="Verdana"/>
          <w:b/>
          <w:bCs/>
          <w:sz w:val="28"/>
          <w:szCs w:val="28"/>
        </w:rPr>
      </w:pPr>
      <w:r>
        <w:rPr>
          <w:rFonts w:ascii="Verdana" w:hAnsi="Verdana"/>
          <w:b/>
          <w:bCs/>
          <w:sz w:val="28"/>
          <w:szCs w:val="28"/>
        </w:rPr>
        <w:t>______________</w:t>
      </w:r>
    </w:p>
    <w:p w:rsidR="00E64C57" w:rsidRDefault="002A0492" w:rsidP="00E64C57">
      <w:pPr>
        <w:spacing w:line="360" w:lineRule="auto"/>
        <w:jc w:val="both"/>
        <w:rPr>
          <w:rFonts w:ascii="Verdana" w:hAnsi="Verdana"/>
          <w:b/>
          <w:bCs/>
          <w:sz w:val="28"/>
          <w:szCs w:val="28"/>
        </w:rPr>
      </w:pPr>
      <w:r>
        <w:rPr>
          <w:rFonts w:ascii="Verdana" w:hAnsi="Verdana"/>
          <w:b/>
          <w:bCs/>
          <w:sz w:val="28"/>
          <w:szCs w:val="28"/>
        </w:rPr>
        <w:t>Lobenguni Manyatsi</w:t>
      </w:r>
    </w:p>
    <w:p w:rsidR="001E2B06" w:rsidRDefault="00E64C57" w:rsidP="007E4CA2">
      <w:pPr>
        <w:spacing w:line="360" w:lineRule="auto"/>
        <w:jc w:val="both"/>
      </w:pPr>
      <w:r>
        <w:rPr>
          <w:rFonts w:ascii="Verdana" w:hAnsi="Verdana"/>
          <w:b/>
          <w:bCs/>
          <w:sz w:val="28"/>
          <w:szCs w:val="28"/>
        </w:rPr>
        <w:t xml:space="preserve">CMAC COMMISSIONER </w:t>
      </w:r>
    </w:p>
    <w:sectPr w:rsidR="001E2B06" w:rsidSect="00733244">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E1" w:rsidRDefault="000A51E1" w:rsidP="0054501D">
      <w:r>
        <w:separator/>
      </w:r>
    </w:p>
  </w:endnote>
  <w:endnote w:type="continuationSeparator" w:id="1">
    <w:p w:rsidR="000A51E1" w:rsidRDefault="000A51E1" w:rsidP="00545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486"/>
      <w:docPartObj>
        <w:docPartGallery w:val="Page Numbers (Bottom of Page)"/>
        <w:docPartUnique/>
      </w:docPartObj>
    </w:sdtPr>
    <w:sdtContent>
      <w:p w:rsidR="00F822AF" w:rsidRDefault="009D3136">
        <w:pPr>
          <w:pStyle w:val="Footer"/>
          <w:jc w:val="center"/>
        </w:pPr>
        <w:fldSimple w:instr=" PAGE   \* MERGEFORMAT ">
          <w:r w:rsidR="00C10B3D">
            <w:rPr>
              <w:noProof/>
            </w:rPr>
            <w:t>8</w:t>
          </w:r>
        </w:fldSimple>
      </w:p>
    </w:sdtContent>
  </w:sdt>
  <w:p w:rsidR="00F822AF" w:rsidRDefault="00F82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E1" w:rsidRDefault="000A51E1" w:rsidP="0054501D">
      <w:r>
        <w:separator/>
      </w:r>
    </w:p>
  </w:footnote>
  <w:footnote w:type="continuationSeparator" w:id="1">
    <w:p w:rsidR="000A51E1" w:rsidRDefault="000A51E1" w:rsidP="00545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738C2"/>
    <w:multiLevelType w:val="multilevel"/>
    <w:tmpl w:val="5C1E52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458E2781"/>
    <w:multiLevelType w:val="multilevel"/>
    <w:tmpl w:val="16482FD0"/>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upperLetter"/>
      <w:lvlText w:val="%3."/>
      <w:lvlJc w:val="left"/>
      <w:pPr>
        <w:tabs>
          <w:tab w:val="num" w:pos="1571"/>
        </w:tabs>
        <w:ind w:left="1571" w:hanging="720"/>
      </w:pPr>
      <w:rPr>
        <w:rFonts w:hint="default"/>
        <w:b w:val="0"/>
      </w:rPr>
    </w:lvl>
    <w:lvl w:ilvl="3">
      <w:start w:val="1"/>
      <w:numFmt w:val="decimal"/>
      <w:lvlText w:val="%1.%2.%3"/>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6A313827"/>
    <w:multiLevelType w:val="multilevel"/>
    <w:tmpl w:val="AFD4FE4C"/>
    <w:lvl w:ilvl="0">
      <w:start w:val="1"/>
      <w:numFmt w:val="decimal"/>
      <w:lvlText w:val="%1."/>
      <w:lvlJc w:val="left"/>
      <w:pPr>
        <w:tabs>
          <w:tab w:val="num" w:pos="405"/>
        </w:tabs>
        <w:ind w:left="405" w:hanging="405"/>
      </w:pPr>
      <w:rPr>
        <w:rFonts w:hint="default"/>
      </w:rPr>
    </w:lvl>
    <w:lvl w:ilvl="1">
      <w:start w:val="7"/>
      <w:numFmt w:val="decimal"/>
      <w:isLgl/>
      <w:lvlText w:val="%1.%2"/>
      <w:lvlJc w:val="left"/>
      <w:pPr>
        <w:tabs>
          <w:tab w:val="num" w:pos="735"/>
        </w:tabs>
        <w:ind w:left="735" w:hanging="720"/>
      </w:pPr>
      <w:rPr>
        <w:rFonts w:hint="default"/>
      </w:rPr>
    </w:lvl>
    <w:lvl w:ilvl="2">
      <w:start w:val="1"/>
      <w:numFmt w:val="decimal"/>
      <w:isLgl/>
      <w:lvlText w:val="%1.%2.%3"/>
      <w:lvlJc w:val="left"/>
      <w:pPr>
        <w:tabs>
          <w:tab w:val="num" w:pos="1110"/>
        </w:tabs>
        <w:ind w:left="1110" w:hanging="1080"/>
      </w:pPr>
      <w:rPr>
        <w:rFonts w:hint="default"/>
      </w:rPr>
    </w:lvl>
    <w:lvl w:ilvl="3">
      <w:start w:val="1"/>
      <w:numFmt w:val="decimal"/>
      <w:isLgl/>
      <w:lvlText w:val="%1.%2.%3.%4"/>
      <w:lvlJc w:val="left"/>
      <w:pPr>
        <w:tabs>
          <w:tab w:val="num" w:pos="1125"/>
        </w:tabs>
        <w:ind w:left="1125" w:hanging="1080"/>
      </w:pPr>
      <w:rPr>
        <w:rFonts w:hint="default"/>
      </w:rPr>
    </w:lvl>
    <w:lvl w:ilvl="4">
      <w:start w:val="1"/>
      <w:numFmt w:val="decimal"/>
      <w:isLgl/>
      <w:lvlText w:val="%1.%2.%3.%4.%5"/>
      <w:lvlJc w:val="left"/>
      <w:pPr>
        <w:tabs>
          <w:tab w:val="num" w:pos="1500"/>
        </w:tabs>
        <w:ind w:left="1500" w:hanging="1440"/>
      </w:pPr>
      <w:rPr>
        <w:rFonts w:hint="default"/>
      </w:rPr>
    </w:lvl>
    <w:lvl w:ilvl="5">
      <w:start w:val="1"/>
      <w:numFmt w:val="decimal"/>
      <w:isLgl/>
      <w:lvlText w:val="%1.%2.%3.%4.%5.%6"/>
      <w:lvlJc w:val="left"/>
      <w:pPr>
        <w:tabs>
          <w:tab w:val="num" w:pos="1875"/>
        </w:tabs>
        <w:ind w:left="1875" w:hanging="1800"/>
      </w:pPr>
      <w:rPr>
        <w:rFonts w:hint="default"/>
      </w:rPr>
    </w:lvl>
    <w:lvl w:ilvl="6">
      <w:start w:val="1"/>
      <w:numFmt w:val="decimal"/>
      <w:isLgl/>
      <w:lvlText w:val="%1.%2.%3.%4.%5.%6.%7"/>
      <w:lvlJc w:val="left"/>
      <w:pPr>
        <w:tabs>
          <w:tab w:val="num" w:pos="2250"/>
        </w:tabs>
        <w:ind w:left="2250" w:hanging="2160"/>
      </w:pPr>
      <w:rPr>
        <w:rFonts w:hint="default"/>
      </w:rPr>
    </w:lvl>
    <w:lvl w:ilvl="7">
      <w:start w:val="1"/>
      <w:numFmt w:val="decimal"/>
      <w:isLgl/>
      <w:lvlText w:val="%1.%2.%3.%4.%5.%6.%7.%8"/>
      <w:lvlJc w:val="left"/>
      <w:pPr>
        <w:tabs>
          <w:tab w:val="num" w:pos="2625"/>
        </w:tabs>
        <w:ind w:left="2625" w:hanging="2520"/>
      </w:pPr>
      <w:rPr>
        <w:rFonts w:hint="default"/>
      </w:rPr>
    </w:lvl>
    <w:lvl w:ilvl="8">
      <w:start w:val="1"/>
      <w:numFmt w:val="decimal"/>
      <w:isLgl/>
      <w:lvlText w:val="%1.%2.%3.%4.%5.%6.%7.%8.%9"/>
      <w:lvlJc w:val="left"/>
      <w:pPr>
        <w:tabs>
          <w:tab w:val="num" w:pos="2640"/>
        </w:tabs>
        <w:ind w:left="2640" w:hanging="2520"/>
      </w:pPr>
      <w:rPr>
        <w:rFonts w:hint="default"/>
      </w:rPr>
    </w:lvl>
  </w:abstractNum>
  <w:abstractNum w:abstractNumId="3">
    <w:nsid w:val="6E446B87"/>
    <w:multiLevelType w:val="multilevel"/>
    <w:tmpl w:val="F33866A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C57"/>
    <w:rsid w:val="00016DF1"/>
    <w:rsid w:val="00045517"/>
    <w:rsid w:val="000A51E1"/>
    <w:rsid w:val="000C5F6C"/>
    <w:rsid w:val="000E4BBF"/>
    <w:rsid w:val="001120B4"/>
    <w:rsid w:val="0013402B"/>
    <w:rsid w:val="00167B58"/>
    <w:rsid w:val="001C35FF"/>
    <w:rsid w:val="001C6B1B"/>
    <w:rsid w:val="001E2B06"/>
    <w:rsid w:val="00232CB4"/>
    <w:rsid w:val="002421A8"/>
    <w:rsid w:val="002A0492"/>
    <w:rsid w:val="00301049"/>
    <w:rsid w:val="00352E3E"/>
    <w:rsid w:val="003563E9"/>
    <w:rsid w:val="003E5249"/>
    <w:rsid w:val="003F38A2"/>
    <w:rsid w:val="004E61C3"/>
    <w:rsid w:val="00536A5D"/>
    <w:rsid w:val="00540121"/>
    <w:rsid w:val="0054501D"/>
    <w:rsid w:val="00562B98"/>
    <w:rsid w:val="005B2178"/>
    <w:rsid w:val="005B6A87"/>
    <w:rsid w:val="005C41AF"/>
    <w:rsid w:val="006146FF"/>
    <w:rsid w:val="0071111F"/>
    <w:rsid w:val="00733244"/>
    <w:rsid w:val="00744FE9"/>
    <w:rsid w:val="007E4CA2"/>
    <w:rsid w:val="0086757C"/>
    <w:rsid w:val="00902C96"/>
    <w:rsid w:val="00917836"/>
    <w:rsid w:val="0096461A"/>
    <w:rsid w:val="009668C5"/>
    <w:rsid w:val="009733D2"/>
    <w:rsid w:val="009A2BE4"/>
    <w:rsid w:val="009D3136"/>
    <w:rsid w:val="009D624A"/>
    <w:rsid w:val="009E2471"/>
    <w:rsid w:val="00A04A7B"/>
    <w:rsid w:val="00A25923"/>
    <w:rsid w:val="00A7722F"/>
    <w:rsid w:val="00AC7992"/>
    <w:rsid w:val="00B06DDD"/>
    <w:rsid w:val="00B16614"/>
    <w:rsid w:val="00B76D3C"/>
    <w:rsid w:val="00BC3D57"/>
    <w:rsid w:val="00BF7782"/>
    <w:rsid w:val="00C10B3D"/>
    <w:rsid w:val="00C47A31"/>
    <w:rsid w:val="00CA1122"/>
    <w:rsid w:val="00CA5E07"/>
    <w:rsid w:val="00CB7286"/>
    <w:rsid w:val="00CC22E2"/>
    <w:rsid w:val="00DE2933"/>
    <w:rsid w:val="00E64C57"/>
    <w:rsid w:val="00F77567"/>
    <w:rsid w:val="00F822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57"/>
    <w:pPr>
      <w:ind w:left="720"/>
      <w:contextualSpacing/>
    </w:pPr>
  </w:style>
  <w:style w:type="paragraph" w:styleId="Footer">
    <w:name w:val="footer"/>
    <w:basedOn w:val="Normal"/>
    <w:link w:val="FooterChar"/>
    <w:uiPriority w:val="99"/>
    <w:unhideWhenUsed/>
    <w:rsid w:val="00E64C57"/>
    <w:pPr>
      <w:tabs>
        <w:tab w:val="center" w:pos="4680"/>
        <w:tab w:val="right" w:pos="9360"/>
      </w:tabs>
    </w:pPr>
  </w:style>
  <w:style w:type="character" w:customStyle="1" w:styleId="FooterChar">
    <w:name w:val="Footer Char"/>
    <w:basedOn w:val="DefaultParagraphFont"/>
    <w:link w:val="Footer"/>
    <w:uiPriority w:val="99"/>
    <w:rsid w:val="00E64C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9550-3D8F-4F8D-90B8-4CE85120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zinhle</dc:creator>
  <cp:lastModifiedBy>HP</cp:lastModifiedBy>
  <cp:revision>9</cp:revision>
  <dcterms:created xsi:type="dcterms:W3CDTF">2014-09-08T06:09:00Z</dcterms:created>
  <dcterms:modified xsi:type="dcterms:W3CDTF">2014-09-08T12:44:00Z</dcterms:modified>
</cp:coreProperties>
</file>